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3DE" w14:textId="6CF82D60" w:rsidR="004C4F24" w:rsidRPr="00D60E40" w:rsidRDefault="00D60E40" w:rsidP="00016D19">
      <w:pPr>
        <w:spacing w:after="0"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60E40">
        <w:rPr>
          <w:rFonts w:ascii="Times New Roman" w:hAnsi="Times New Roman" w:cs="Times New Roman"/>
          <w:u w:val="single"/>
        </w:rPr>
        <w:t>Tematyka wykładów:</w:t>
      </w:r>
    </w:p>
    <w:p w14:paraId="4E99DC16" w14:textId="0291B522" w:rsidR="00D60E40" w:rsidRPr="00D60E40" w:rsidRDefault="00D60E40" w:rsidP="00016D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E40">
        <w:rPr>
          <w:rFonts w:ascii="Times New Roman" w:hAnsi="Times New Roman" w:cs="Times New Roman"/>
        </w:rPr>
        <w:t>Standardy postępowania</w:t>
      </w:r>
      <w:r w:rsidRPr="00D60E40"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chirurgicznego.</w:t>
      </w:r>
    </w:p>
    <w:p w14:paraId="6BB922B7" w14:textId="77777777" w:rsidR="00D60E40" w:rsidRPr="00D60E40" w:rsidRDefault="00D60E40" w:rsidP="00016D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E40">
        <w:rPr>
          <w:rFonts w:ascii="Times New Roman" w:hAnsi="Times New Roman" w:cs="Times New Roman"/>
        </w:rPr>
        <w:t>Zapalenie wyrostka robaczkowego. Diagnostyka różnicowa.</w:t>
      </w:r>
    </w:p>
    <w:p w14:paraId="4A76842B" w14:textId="77777777" w:rsidR="00D60E40" w:rsidRPr="00D60E40" w:rsidRDefault="00D60E40" w:rsidP="00016D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E40">
        <w:rPr>
          <w:rFonts w:ascii="Times New Roman" w:hAnsi="Times New Roman" w:cs="Times New Roman"/>
        </w:rPr>
        <w:t>Chirurgiczne choroby pęcherzyka i dróg żółciowych</w:t>
      </w:r>
      <w:r w:rsidRPr="00D60E40">
        <w:rPr>
          <w:rFonts w:ascii="Times New Roman" w:hAnsi="Times New Roman" w:cs="Times New Roman"/>
        </w:rPr>
        <w:t>,</w:t>
      </w:r>
    </w:p>
    <w:p w14:paraId="6AB3BFCB" w14:textId="77777777" w:rsidR="00D60E40" w:rsidRPr="00D60E40" w:rsidRDefault="00D60E40" w:rsidP="00016D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E40">
        <w:rPr>
          <w:rFonts w:ascii="Times New Roman" w:hAnsi="Times New Roman" w:cs="Times New Roman"/>
        </w:rPr>
        <w:t>Powikłania</w:t>
      </w:r>
      <w:r w:rsidRPr="00D60E40"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choroby wrzodowej leczone</w:t>
      </w:r>
      <w:r w:rsidRPr="00D60E40">
        <w:rPr>
          <w:rFonts w:ascii="Times New Roman" w:hAnsi="Times New Roman" w:cs="Times New Roman"/>
        </w:rPr>
        <w:t>j</w:t>
      </w:r>
      <w:r w:rsidRPr="00D60E40">
        <w:rPr>
          <w:rFonts w:ascii="Times New Roman" w:hAnsi="Times New Roman" w:cs="Times New Roman"/>
        </w:rPr>
        <w:t xml:space="preserve"> chirurgicznie. </w:t>
      </w:r>
    </w:p>
    <w:p w14:paraId="45EBA247" w14:textId="77777777" w:rsidR="00D60E40" w:rsidRPr="00D60E40" w:rsidRDefault="00D60E40" w:rsidP="00016D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E40">
        <w:rPr>
          <w:rFonts w:ascii="Times New Roman" w:hAnsi="Times New Roman" w:cs="Times New Roman"/>
        </w:rPr>
        <w:t>Niedrożności.</w:t>
      </w:r>
    </w:p>
    <w:p w14:paraId="07F1B257" w14:textId="18F630E0" w:rsidR="00D60E40" w:rsidRDefault="00D60E40" w:rsidP="00016D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E40">
        <w:rPr>
          <w:rFonts w:ascii="Times New Roman" w:hAnsi="Times New Roman" w:cs="Times New Roman"/>
        </w:rPr>
        <w:t xml:space="preserve"> Przepukliny</w:t>
      </w:r>
      <w:r w:rsidRPr="00D60E40"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 xml:space="preserve">zewnętrzne i wewnętrzne. Uwięźnięcie przepukliny. </w:t>
      </w:r>
    </w:p>
    <w:p w14:paraId="27E7ADE4" w14:textId="3AD5F9F3" w:rsidR="00D60E40" w:rsidRDefault="00D60E40" w:rsidP="00016D19">
      <w:pPr>
        <w:spacing w:after="0"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60E40">
        <w:rPr>
          <w:rFonts w:ascii="Times New Roman" w:hAnsi="Times New Roman" w:cs="Times New Roman"/>
          <w:u w:val="single"/>
        </w:rPr>
        <w:t>Tematyka ćwiczeń:</w:t>
      </w:r>
    </w:p>
    <w:p w14:paraId="29E89405" w14:textId="77777777" w:rsidR="00D60E40" w:rsidRDefault="00D60E40" w:rsidP="00016D1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60E40">
        <w:rPr>
          <w:rFonts w:ascii="Times New Roman" w:hAnsi="Times New Roman" w:cs="Times New Roman"/>
        </w:rPr>
        <w:t>Proces</w:t>
      </w:r>
      <w:r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gojenia się ran, rodzaje ran, sposób zaopatrzenia. Rany przewlekłe</w:t>
      </w:r>
      <w:r w:rsidRPr="00D60E40">
        <w:rPr>
          <w:rFonts w:ascii="Times New Roman" w:hAnsi="Times New Roman" w:cs="Times New Roman"/>
        </w:rPr>
        <w:br/>
        <w:t>i owrzodzenia</w:t>
      </w:r>
      <w:r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- leczenie (owrzodzenia tętnicze i żylne)</w:t>
      </w:r>
      <w:r>
        <w:rPr>
          <w:rFonts w:ascii="Times New Roman" w:hAnsi="Times New Roman" w:cs="Times New Roman"/>
        </w:rPr>
        <w:t>.</w:t>
      </w:r>
    </w:p>
    <w:p w14:paraId="3DE2C2EF" w14:textId="567E449F" w:rsidR="00D60E40" w:rsidRPr="00D60E40" w:rsidRDefault="00D60E40" w:rsidP="00016D19">
      <w:pPr>
        <w:spacing w:after="0"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60E40">
        <w:rPr>
          <w:rFonts w:ascii="Times New Roman" w:hAnsi="Times New Roman" w:cs="Times New Roman"/>
        </w:rPr>
        <w:t xml:space="preserve"> Nowoczesne</w:t>
      </w:r>
      <w:r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opatrunki - rodzaje, mechanizm działania.</w:t>
      </w:r>
      <w:r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Ropne stany zapalne skóry i</w:t>
      </w:r>
      <w:r w:rsidRPr="00D60E40">
        <w:rPr>
          <w:rFonts w:ascii="Times New Roman" w:hAnsi="Times New Roman" w:cs="Times New Roman"/>
        </w:rPr>
        <w:br/>
        <w:t>tkanki podskórnej (czyrak, czyrak gromadny, ropień, ropowica, zastrzał,</w:t>
      </w:r>
      <w:r w:rsidRPr="00D60E40">
        <w:rPr>
          <w:rFonts w:ascii="Times New Roman" w:hAnsi="Times New Roman" w:cs="Times New Roman"/>
        </w:rPr>
        <w:br/>
        <w:t>zanokcica, i inne), Zakażenia</w:t>
      </w:r>
      <w:r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przyranne (tężec,</w:t>
      </w:r>
      <w:r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róża, różyca, zgorzel</w:t>
      </w:r>
      <w:r w:rsidRPr="00D60E40">
        <w:rPr>
          <w:rFonts w:ascii="Times New Roman" w:hAnsi="Times New Roman" w:cs="Times New Roman"/>
        </w:rPr>
        <w:br/>
        <w:t>gazowa)</w:t>
      </w:r>
      <w:r>
        <w:rPr>
          <w:rFonts w:ascii="Times New Roman" w:hAnsi="Times New Roman" w:cs="Times New Roman"/>
        </w:rPr>
        <w:t xml:space="preserve">. </w:t>
      </w:r>
      <w:r w:rsidRPr="00D60E40">
        <w:rPr>
          <w:rFonts w:ascii="Times New Roman" w:hAnsi="Times New Roman" w:cs="Times New Roman"/>
        </w:rPr>
        <w:t>Zakażenie miejsca operowanego: powierzchowne i głębokie.</w:t>
      </w:r>
      <w:r w:rsidRPr="00D60E40">
        <w:rPr>
          <w:rFonts w:ascii="Times New Roman" w:hAnsi="Times New Roman" w:cs="Times New Roman"/>
        </w:rPr>
        <w:br/>
        <w:t>Analiza ryzyka wystąpienia zakażenia.</w:t>
      </w:r>
      <w:r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Przygotowanie chorego do operacji i</w:t>
      </w:r>
      <w:r w:rsidRPr="00D60E40">
        <w:rPr>
          <w:rFonts w:ascii="Times New Roman" w:hAnsi="Times New Roman" w:cs="Times New Roman"/>
        </w:rPr>
        <w:br/>
        <w:t>opieka pooperacyjna, monitorowanie, (problem niedożywienia, żywienie</w:t>
      </w:r>
      <w:r w:rsidRPr="00D60E40">
        <w:rPr>
          <w:rFonts w:ascii="Times New Roman" w:hAnsi="Times New Roman" w:cs="Times New Roman"/>
        </w:rPr>
        <w:br/>
        <w:t>pozajelitowe i do jelitowe), badania biochemiczne, określenie ryzyka</w:t>
      </w:r>
      <w:r w:rsidRPr="00D60E40">
        <w:rPr>
          <w:rFonts w:ascii="Times New Roman" w:hAnsi="Times New Roman" w:cs="Times New Roman"/>
        </w:rPr>
        <w:br/>
        <w:t>operacyjnego. Bilans wodny- gospodarka wodno-elektrolitowa w</w:t>
      </w:r>
      <w:r w:rsidRPr="00D60E40">
        <w:rPr>
          <w:rFonts w:ascii="Times New Roman" w:hAnsi="Times New Roman" w:cs="Times New Roman"/>
        </w:rPr>
        <w:br/>
        <w:t>chirurgii.</w:t>
      </w:r>
      <w:r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Różnicowanie ostrych schorzeń jamy brzusznej na podstawie</w:t>
      </w:r>
      <w:r w:rsidRPr="00D60E40">
        <w:rPr>
          <w:rFonts w:ascii="Times New Roman" w:hAnsi="Times New Roman" w:cs="Times New Roman"/>
        </w:rPr>
        <w:br/>
        <w:t>wybranych przypadków. Zapalnie wyrostka robaczkowego.</w:t>
      </w:r>
      <w:r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Zapalenie</w:t>
      </w:r>
      <w:r w:rsidRPr="00D60E40">
        <w:rPr>
          <w:rFonts w:ascii="Times New Roman" w:hAnsi="Times New Roman" w:cs="Times New Roman"/>
        </w:rPr>
        <w:br/>
        <w:t>otrzewnej. Różnicowanie ostrych schorzeń jamy brzusznej na podstawie</w:t>
      </w:r>
      <w:r w:rsidRPr="00D60E40">
        <w:rPr>
          <w:rFonts w:ascii="Times New Roman" w:hAnsi="Times New Roman" w:cs="Times New Roman"/>
        </w:rPr>
        <w:br/>
        <w:t>wybranych przypadków. Chorób pęcherzyka żółciowego i dróg</w:t>
      </w:r>
      <w:r w:rsidRPr="00D60E40">
        <w:rPr>
          <w:rFonts w:ascii="Times New Roman" w:hAnsi="Times New Roman" w:cs="Times New Roman"/>
        </w:rPr>
        <w:br/>
        <w:t>żółciowych.</w:t>
      </w:r>
      <w:r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Symptomatologia, diagnostyka i leczenie chirurgiczne w wieku</w:t>
      </w:r>
      <w:r w:rsidRPr="00D60E40">
        <w:rPr>
          <w:rFonts w:ascii="Times New Roman" w:hAnsi="Times New Roman" w:cs="Times New Roman"/>
        </w:rPr>
        <w:br/>
        <w:t>rozwojowym ze szczególnym uwzględnieniem badania podmiotowego i</w:t>
      </w:r>
      <w:r w:rsidRPr="00D60E40">
        <w:rPr>
          <w:rFonts w:ascii="Times New Roman" w:hAnsi="Times New Roman" w:cs="Times New Roman"/>
        </w:rPr>
        <w:br/>
        <w:t>przedmiotowego.</w:t>
      </w:r>
      <w:r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Odrębności ostrych chirurgicznych schorzeń jamy</w:t>
      </w:r>
      <w:r w:rsidRPr="00D60E40">
        <w:rPr>
          <w:rFonts w:ascii="Times New Roman" w:hAnsi="Times New Roman" w:cs="Times New Roman"/>
        </w:rPr>
        <w:br/>
        <w:t>brzusznej u dzieci. Ropne stany zapalne skóry i tkanki podskórnej.</w:t>
      </w:r>
      <w:r>
        <w:rPr>
          <w:rFonts w:ascii="Times New Roman" w:hAnsi="Times New Roman" w:cs="Times New Roman"/>
        </w:rPr>
        <w:t xml:space="preserve"> </w:t>
      </w:r>
      <w:r w:rsidRPr="00D60E40">
        <w:rPr>
          <w:rFonts w:ascii="Times New Roman" w:hAnsi="Times New Roman" w:cs="Times New Roman"/>
        </w:rPr>
        <w:t>Stany</w:t>
      </w:r>
      <w:r w:rsidRPr="00D60E40">
        <w:rPr>
          <w:rFonts w:ascii="Times New Roman" w:hAnsi="Times New Roman" w:cs="Times New Roman"/>
        </w:rPr>
        <w:br/>
        <w:t>septyczne w wieku rozwojowym. Zakażenia przyranne. Choroby układu</w:t>
      </w:r>
      <w:r w:rsidRPr="00D60E40">
        <w:rPr>
          <w:rFonts w:ascii="Times New Roman" w:hAnsi="Times New Roman" w:cs="Times New Roman"/>
        </w:rPr>
        <w:br/>
        <w:t>moczowo-płciowego leczone chirurgicznie u dzieci. Różnicowanie ostrych</w:t>
      </w:r>
      <w:r w:rsidRPr="00D60E40">
        <w:rPr>
          <w:rFonts w:ascii="Times New Roman" w:hAnsi="Times New Roman" w:cs="Times New Roman"/>
        </w:rPr>
        <w:br/>
        <w:t xml:space="preserve">schorzeń jamy brzusznej w oparciu o analizę przypadków. </w:t>
      </w:r>
    </w:p>
    <w:p w14:paraId="5021C6D7" w14:textId="77777777" w:rsidR="00D60E40" w:rsidRPr="00D60E40" w:rsidRDefault="00D60E40" w:rsidP="00016D1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sectPr w:rsidR="00D60E40" w:rsidRPr="00D6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0AA2"/>
    <w:multiLevelType w:val="hybridMultilevel"/>
    <w:tmpl w:val="4BC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63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40"/>
    <w:rsid w:val="00016D19"/>
    <w:rsid w:val="004C4F24"/>
    <w:rsid w:val="00D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D9FA"/>
  <w15:chartTrackingRefBased/>
  <w15:docId w15:val="{FCAB75DE-775C-4026-AE57-A259300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Rudzińska</dc:creator>
  <cp:keywords/>
  <dc:description/>
  <cp:lastModifiedBy>Aneta Rudzińska</cp:lastModifiedBy>
  <cp:revision>1</cp:revision>
  <dcterms:created xsi:type="dcterms:W3CDTF">2023-02-21T21:25:00Z</dcterms:created>
  <dcterms:modified xsi:type="dcterms:W3CDTF">2023-02-21T21:38:00Z</dcterms:modified>
</cp:coreProperties>
</file>