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1FE77" w14:textId="77777777" w:rsidR="00BE44DA" w:rsidRPr="00F140E0" w:rsidRDefault="00BE44DA" w:rsidP="00BE44DA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age34R_mcid3"/>
      <w:bookmarkEnd w:id="0"/>
      <w:r w:rsidRPr="00F140E0">
        <w:rPr>
          <w:rFonts w:ascii="Times New Roman" w:hAnsi="Times New Roman" w:cs="Times New Roman"/>
          <w:sz w:val="22"/>
          <w:szCs w:val="22"/>
        </w:rPr>
        <w:t>Uniwersytet Warmińsko-Mazurski w Olsztynie</w:t>
      </w:r>
      <w:bookmarkStart w:id="1" w:name="page34R_mcid4"/>
      <w:bookmarkEnd w:id="1"/>
      <w:r w:rsidRPr="00F140E0">
        <w:rPr>
          <w:rFonts w:ascii="Times New Roman" w:hAnsi="Times New Roman" w:cs="Times New Roman"/>
          <w:sz w:val="22"/>
          <w:szCs w:val="22"/>
        </w:rPr>
        <w:br/>
        <w:t xml:space="preserve">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Szkoła Zdrowia Publicznego</w:t>
      </w:r>
    </w:p>
    <w:p w14:paraId="57CBF837" w14:textId="0DE54B89" w:rsidR="00BE44DA" w:rsidRPr="00F140E0" w:rsidRDefault="00BE44DA" w:rsidP="00BE44DA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bookmarkStart w:id="2" w:name="page34R_mcid7"/>
      <w:bookmarkEnd w:id="2"/>
      <w:r w:rsidRPr="00F140E0">
        <w:rPr>
          <w:rFonts w:ascii="Times New Roman" w:hAnsi="Times New Roman" w:cs="Times New Roman"/>
          <w:b/>
          <w:bCs/>
          <w:sz w:val="22"/>
          <w:szCs w:val="22"/>
        </w:rPr>
        <w:t xml:space="preserve">REGULAMIN ZAJĘĆ Z </w:t>
      </w:r>
      <w:bookmarkStart w:id="3" w:name="page34R_mcid8"/>
      <w:bookmarkEnd w:id="3"/>
      <w:r w:rsidRPr="00F140E0">
        <w:rPr>
          <w:rFonts w:ascii="Times New Roman" w:hAnsi="Times New Roman" w:cs="Times New Roman"/>
          <w:b/>
          <w:bCs/>
          <w:sz w:val="22"/>
          <w:szCs w:val="22"/>
        </w:rPr>
        <w:t xml:space="preserve">PRZEDMIOTU FARMAKOLOGIA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Z </w:t>
      </w:r>
      <w:r w:rsidRPr="00F140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TOKSYKOLOGI</w:t>
      </w:r>
      <w:r>
        <w:rPr>
          <w:rFonts w:ascii="Times New Roman" w:hAnsi="Times New Roman" w:cs="Times New Roman"/>
          <w:b/>
          <w:bCs/>
          <w:sz w:val="22"/>
          <w:szCs w:val="22"/>
        </w:rPr>
        <w:t>Ą</w:t>
      </w:r>
      <w:r w:rsidRPr="00F140E0">
        <w:rPr>
          <w:rFonts w:ascii="Times New Roman" w:hAnsi="Times New Roman" w:cs="Times New Roman"/>
          <w:b/>
          <w:bCs/>
          <w:sz w:val="22"/>
          <w:szCs w:val="22"/>
        </w:rPr>
        <w:br/>
        <w:t xml:space="preserve">dla studentów Kierunku Ratownictwo Medyczne ROK II, semestr </w:t>
      </w:r>
      <w:r>
        <w:rPr>
          <w:rFonts w:ascii="Times New Roman" w:hAnsi="Times New Roman" w:cs="Times New Roman"/>
          <w:b/>
          <w:bCs/>
          <w:sz w:val="22"/>
          <w:szCs w:val="22"/>
        </w:rPr>
        <w:t>3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Szkoła Zdrowia Publicznego</w:t>
      </w:r>
      <w:r w:rsidRPr="00F140E0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F140E0">
        <w:rPr>
          <w:rStyle w:val="Mocnowyrniony"/>
          <w:rFonts w:ascii="Times New Roman" w:hAnsi="Times New Roman" w:cs="Times New Roman"/>
          <w:sz w:val="22"/>
          <w:szCs w:val="22"/>
        </w:rPr>
        <w:t>Collegium Medicum Uniwersytetu Warmińsko – Mazurskiego w Olsztynie</w:t>
      </w:r>
      <w:r w:rsidRPr="00F140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6FE3FC7" w14:textId="77777777" w:rsidR="00BE44DA" w:rsidRPr="00F140E0" w:rsidRDefault="00BE44DA" w:rsidP="00BE44D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2E1A16B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ge3R_mcid7"/>
      <w:bookmarkEnd w:id="4"/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1. Informacje ogólne</w:t>
      </w:r>
    </w:p>
    <w:p w14:paraId="4F14F5E4" w14:textId="308F71EE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1.1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Zajęcia realizowane są przez Katedrę Farmakologii i Toksykologii Wydziału Lekarskiego UWM.</w:t>
      </w:r>
      <w:bookmarkStart w:id="5" w:name="page3R_mcid8"/>
      <w:bookmarkEnd w:id="5"/>
    </w:p>
    <w:p w14:paraId="722A08BD" w14:textId="77777777" w:rsidR="00BE44DA" w:rsidRPr="00F140E0" w:rsidRDefault="00BE44DA" w:rsidP="00BE44DA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1.2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Pracownicy odpowiedzialni za realizację przedmiotu:</w:t>
      </w:r>
      <w:bookmarkStart w:id="6" w:name="page3R_mcid9"/>
      <w:bookmarkEnd w:id="6"/>
      <w:r w:rsidRPr="00F140E0">
        <w:rPr>
          <w:rFonts w:ascii="Times New Roman" w:eastAsia="Times New Roman" w:hAnsi="Times New Roman" w:cs="Times New Roman"/>
          <w:sz w:val="22"/>
          <w:szCs w:val="22"/>
        </w:rPr>
        <w:br/>
        <w:t xml:space="preserve">a. Kierownik Katedry – dr hab. n. med. Michał S. Majewski, prof. UWM; </w:t>
      </w:r>
    </w:p>
    <w:p w14:paraId="519E1D7D" w14:textId="77777777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b. Koordynator Przedmiotu – dr </w:t>
      </w:r>
      <w:bookmarkStart w:id="7" w:name="page3R_mcid11"/>
      <w:bookmarkEnd w:id="7"/>
      <w:r w:rsidRPr="00F140E0">
        <w:rPr>
          <w:rFonts w:ascii="Times New Roman" w:eastAsia="Times New Roman" w:hAnsi="Times New Roman" w:cs="Times New Roman"/>
          <w:sz w:val="22"/>
          <w:szCs w:val="22"/>
        </w:rPr>
        <w:t>n. med. Krzysztof Nosek</w:t>
      </w:r>
    </w:p>
    <w:p w14:paraId="39DE34BA" w14:textId="77777777" w:rsidR="00BE44DA" w:rsidRPr="00F140E0" w:rsidRDefault="00BE44DA" w:rsidP="00BE44DA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c. Osoby odpowiedzialne za realizację poszczególnych rodzajów zajęć</w:t>
      </w:r>
    </w:p>
    <w:p w14:paraId="1C99A820" w14:textId="77777777" w:rsidR="00BE44DA" w:rsidRPr="00A70724" w:rsidRDefault="00BE44DA" w:rsidP="00BE44D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70724">
        <w:rPr>
          <w:rFonts w:ascii="Times New Roman" w:eastAsia="Times New Roman" w:hAnsi="Times New Roman" w:cs="Times New Roman"/>
          <w:sz w:val="22"/>
          <w:szCs w:val="22"/>
          <w:u w:val="single"/>
        </w:rPr>
        <w:t>WYKŁADY</w:t>
      </w:r>
      <w:r w:rsidRPr="00A70724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dr n. med. Krzysztof Nosek,</w:t>
      </w:r>
    </w:p>
    <w:p w14:paraId="4DD3A452" w14:textId="77777777" w:rsidR="00BE44DA" w:rsidRPr="00A70724" w:rsidRDefault="00BE44DA" w:rsidP="00BE44D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70724">
        <w:rPr>
          <w:rFonts w:ascii="Times New Roman" w:eastAsia="Times New Roman" w:hAnsi="Times New Roman" w:cs="Times New Roman"/>
          <w:sz w:val="22"/>
          <w:szCs w:val="22"/>
          <w:u w:val="single"/>
        </w:rPr>
        <w:t>SEMINARIA</w:t>
      </w:r>
      <w:r w:rsidRPr="00A70724">
        <w:rPr>
          <w:rFonts w:ascii="Times New Roman" w:eastAsia="Times New Roman" w:hAnsi="Times New Roman" w:cs="Times New Roman"/>
          <w:sz w:val="22"/>
          <w:szCs w:val="22"/>
        </w:rPr>
        <w:t>:  dr n. med. Krzysztof Nosek,</w:t>
      </w:r>
    </w:p>
    <w:p w14:paraId="4B53CFAE" w14:textId="77777777" w:rsidR="00BE44DA" w:rsidRPr="00F140E0" w:rsidRDefault="00BE44DA" w:rsidP="00BE44DA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  <w:u w:val="single"/>
        </w:rPr>
        <w:t>ĆWICZENIA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: dr n. med. Krzysztof Nosek. </w:t>
      </w:r>
    </w:p>
    <w:p w14:paraId="695323A5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8" w:name="page34R_mcid16"/>
      <w:bookmarkEnd w:id="8"/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1.3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Miejsce, czas oraz tematykę poszczególnych form zajęć i zaliczeń określają dokumenty: plan studiów, sylabus, harmonogram i tematyka zajęć. Ww. dokumenty dostępne są na stronie internetowej Katedry Farmakologii i Toksykologii.</w:t>
      </w:r>
    </w:p>
    <w:p w14:paraId="358B5E30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2. </w:t>
      </w:r>
      <w:bookmarkStart w:id="9" w:name="page3R_mcid13"/>
      <w:bookmarkEnd w:id="9"/>
      <w:r w:rsidRPr="00F140E0">
        <w:rPr>
          <w:rFonts w:ascii="Times New Roman" w:hAnsi="Times New Roman" w:cs="Times New Roman"/>
          <w:b/>
          <w:bCs/>
          <w:sz w:val="22"/>
          <w:szCs w:val="22"/>
        </w:rPr>
        <w:t>Zajęcia dydaktyczne mają formę obowiązkowych:</w:t>
      </w:r>
    </w:p>
    <w:p w14:paraId="3EA92AD5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 xml:space="preserve">a. wykładów, </w:t>
      </w:r>
    </w:p>
    <w:p w14:paraId="7ADD0D95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b. ćwiczeń,</w:t>
      </w:r>
    </w:p>
    <w:p w14:paraId="0D5F1607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c. seminariów,</w:t>
      </w:r>
    </w:p>
    <w:p w14:paraId="13DCB8A0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b/>
          <w:bCs/>
          <w:sz w:val="22"/>
          <w:szCs w:val="22"/>
        </w:rPr>
        <w:t>3. Zasady uczestnictwa studenta na poszczególnych formach zajęć</w:t>
      </w:r>
    </w:p>
    <w:p w14:paraId="15A3A0CD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 xml:space="preserve">a. Studenci aktywnie uczestniczą w zajęciach dydaktycznych, w zależności od formy. </w:t>
      </w:r>
    </w:p>
    <w:p w14:paraId="415CA7AC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b. Każdy student zobowiązany jest do przygotowania w semestrze 3-4 prezentacji multimedialnych na temat poddany przez prowadzącego zajęcia z minimum 2-tygodniowym wyprzedzeniem.</w:t>
      </w:r>
    </w:p>
    <w:p w14:paraId="1A994B1A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0" w:name="page3R_mcid14"/>
      <w:bookmarkEnd w:id="10"/>
      <w:r w:rsidRPr="00F140E0">
        <w:rPr>
          <w:rFonts w:ascii="Times New Roman" w:hAnsi="Times New Roman" w:cs="Times New Roman"/>
          <w:sz w:val="22"/>
          <w:szCs w:val="22"/>
        </w:rPr>
        <w:t>c. Ćwiczenia, seminaria i wykłady odbywają się zgodnie z harmonogramem w godzinach przewidzianych w planie zajęć.</w:t>
      </w:r>
    </w:p>
    <w:p w14:paraId="05E2E137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d. Student zobowiązany jest do punktualnego przychodzenia na zajęcia z grupą studencką do której został przypisany na początku roku akademickiego.</w:t>
      </w:r>
    </w:p>
    <w:p w14:paraId="6BE6BA5E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1" w:name="page3R_mcid17"/>
      <w:bookmarkEnd w:id="11"/>
      <w:r w:rsidRPr="00F140E0">
        <w:rPr>
          <w:rFonts w:ascii="Times New Roman" w:hAnsi="Times New Roman" w:cs="Times New Roman"/>
          <w:sz w:val="22"/>
          <w:szCs w:val="22"/>
        </w:rPr>
        <w:t>e. Student wykonuje polecenia prowadzącego zajęcia.</w:t>
      </w:r>
    </w:p>
    <w:p w14:paraId="0D889B9E" w14:textId="77777777" w:rsidR="00BE44DA" w:rsidRPr="00F140E0" w:rsidRDefault="00BE44DA" w:rsidP="00BE44DA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b/>
          <w:bCs/>
          <w:sz w:val="22"/>
          <w:szCs w:val="22"/>
        </w:rPr>
        <w:t>4. Obecność na zajęciach, sposób usprawiedliwiania i odrabiania nieobecności</w:t>
      </w:r>
    </w:p>
    <w:p w14:paraId="4CC6AC6D" w14:textId="77777777" w:rsidR="00BE44DA" w:rsidRPr="00F140E0" w:rsidRDefault="00BE44DA" w:rsidP="00BE44DA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b/>
          <w:bCs/>
          <w:sz w:val="22"/>
          <w:szCs w:val="22"/>
        </w:rPr>
        <w:t>4.1</w:t>
      </w:r>
      <w:r w:rsidRPr="00F140E0">
        <w:rPr>
          <w:rFonts w:ascii="Times New Roman" w:hAnsi="Times New Roman" w:cs="Times New Roman"/>
          <w:sz w:val="22"/>
          <w:szCs w:val="22"/>
        </w:rPr>
        <w:t xml:space="preserve"> Obecność we wszystkich formach zajęć jest obowiązkowa.</w:t>
      </w:r>
    </w:p>
    <w:p w14:paraId="7CD1BBFE" w14:textId="77777777" w:rsidR="00BE44DA" w:rsidRPr="00F140E0" w:rsidRDefault="00BE44DA" w:rsidP="00BE44DA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b/>
          <w:bCs/>
          <w:sz w:val="22"/>
          <w:szCs w:val="22"/>
        </w:rPr>
        <w:t>4.2</w:t>
      </w:r>
      <w:r w:rsidRPr="00F140E0">
        <w:rPr>
          <w:rFonts w:ascii="Times New Roman" w:hAnsi="Times New Roman" w:cs="Times New Roman"/>
          <w:sz w:val="22"/>
          <w:szCs w:val="22"/>
        </w:rPr>
        <w:t xml:space="preserve"> Wszystkie nieobecności muszą być usprawiedliwione.</w:t>
      </w:r>
    </w:p>
    <w:p w14:paraId="1525FCC8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b/>
          <w:bCs/>
          <w:sz w:val="22"/>
          <w:szCs w:val="22"/>
        </w:rPr>
        <w:t>4.3</w:t>
      </w:r>
      <w:r w:rsidRPr="00F140E0">
        <w:rPr>
          <w:rFonts w:ascii="Times New Roman" w:hAnsi="Times New Roman" w:cs="Times New Roman"/>
          <w:sz w:val="22"/>
          <w:szCs w:val="22"/>
        </w:rPr>
        <w:t xml:space="preserve"> Dopuszcza się usprawiedliwioną nieobecność na trzech zajęciach dydaktycznych łącznie w semestrze.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W wyjątkowych przypadkach losowych (np. dłuższy pobyt w szpitalu, dłuższa choroba) nieobecności na ćwiczeniach, kolokwiach, seminariach i wykładach usprawiedliwione jednym zwolnieniem lekarskim będą traktowane jako jedna nieobecność. W innych przypadkach losowych</w:t>
      </w:r>
    </w:p>
    <w:p w14:paraId="6D5F41B8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możliwość zaliczenia przedmiotu w danym semestrze będzie ustalana indywidualnie z koordynatorem przedmiotu. </w:t>
      </w:r>
    </w:p>
    <w:p w14:paraId="7A693177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4.4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Usprawiedliwienie nieobecności na zajęciach dydaktycznych lub zaliczeniu (kolokwium/egzamin) należy dostarczyć w terminie 7, dni roboczych od ustania przyczyny usprawiedliwienia do osoby prowadzącej zajęcia dydaktyczne, zaliczenie lub egzamin. Sposób usprawiedliwienia nieobecności na poszczególnych formach zajęć (w tym zaliczeniach i egzaminach) jest zgodny z procedurą określającą zasady usprawiedliwiania nieobecności na zajęciach dydaktycznych, egzaminach i zaliczeniach na Wydziale Lekarskim – Uchwała Nr 157/2018 Rady Wydziału Lekarskiego Collegium Medicum Uniwersytetu Warmińsko-Mazurskiego w Olsztynie z dnia 12 kwietnia 2018. Nieobecność może być usprawiedliwiona na podstawie:</w:t>
      </w:r>
    </w:p>
    <w:p w14:paraId="309BABBA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a. choroby poświadczonej zwolnieniem lekarskim,</w:t>
      </w:r>
    </w:p>
    <w:p w14:paraId="5F17BE08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b. dokumentu parafowanego przez opiekuna roku,</w:t>
      </w:r>
    </w:p>
    <w:p w14:paraId="2CE23357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c. w szczególnych przypadkach przez członków Kolegium Dziekańskiego, potwierdzającego</w:t>
      </w:r>
    </w:p>
    <w:p w14:paraId="7CD862CC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wydarzenia rodzinne i osobiste, np. wypadek losowy, udział w konkursie, konferencji</w:t>
      </w:r>
    </w:p>
    <w:p w14:paraId="14533648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naukowej.</w:t>
      </w: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W wyjątkowych przypadkach losowych (np. dłuższy pobyt w szpitalu) terminy zaliczania kolokwiów mogą być indywidualnie ustalane z  koordynatorem przedmiotu.</w:t>
      </w:r>
    </w:p>
    <w:p w14:paraId="57561988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4.5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Nieusprawiedliwiona nieobecność na zajęciach potraktowana będzie jako ćwiczenie lub seminarium niezaliczone. Opuszczone zajęcia – ćwiczenia, seminarium, wykłady - należy zaliczyć w terminie 7 dni od zakończenia okresu zwolnienia po ustaleniu terminu z pracownikiem prowadzącym dane zajęcia (zaliczenie odbędzie się w formie ustnej lub pisemnej u prowadzącego dane zajęcia).</w:t>
      </w:r>
    </w:p>
    <w:p w14:paraId="1D1E6B26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4.6.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W przypadku  nieusprawiedliwionej nieobecności student nie zostaje dopuszczony do kolokwium, co oznacza, że otrzymuje On ocenę niedostateczną z I-go terminu kolokwium. </w:t>
      </w:r>
    </w:p>
    <w:p w14:paraId="33014422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5. Zasady zaliczenia poszczególnych form zajęć:</w:t>
      </w:r>
    </w:p>
    <w:p w14:paraId="529F9016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5.1 Wykłady</w:t>
      </w:r>
    </w:p>
    <w:p w14:paraId="4E677DA0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a. Materiał realizowany w trakcie wykładów wchodzi w zakres tematyczny egzaminu z przedmiotu</w:t>
      </w:r>
      <w:r w:rsidRPr="00F140E0">
        <w:rPr>
          <w:rFonts w:ascii="Times New Roman" w:eastAsia="Times New Roman" w:hAnsi="Times New Roman" w:cs="Times New Roman"/>
          <w:color w:val="C9211E"/>
          <w:sz w:val="22"/>
          <w:szCs w:val="22"/>
        </w:rPr>
        <w:t>.</w:t>
      </w:r>
      <w:bookmarkStart w:id="12" w:name="page21R_mcid3"/>
      <w:bookmarkEnd w:id="12"/>
      <w:r w:rsidRPr="00F140E0">
        <w:rPr>
          <w:rFonts w:ascii="Times New Roman" w:eastAsia="Times New Roman" w:hAnsi="Times New Roman" w:cs="Times New Roman"/>
          <w:b/>
          <w:bCs/>
          <w:color w:val="C9211E"/>
          <w:sz w:val="22"/>
          <w:szCs w:val="22"/>
        </w:rPr>
        <w:t xml:space="preserve">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Materiał obowiązujący na wykładach, ćwiczenia i seminariach jest zgodny z danymi w harmonogramie. </w:t>
      </w:r>
    </w:p>
    <w:p w14:paraId="734B3099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5.2 Ćwiczenia/Seminaria</w:t>
      </w:r>
    </w:p>
    <w:p w14:paraId="269456BE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a. określenie sposobu weryfikacji przygotowania studenta do ćwiczeń.</w:t>
      </w:r>
    </w:p>
    <w:p w14:paraId="23D085ED" w14:textId="77777777" w:rsidR="00BE44DA" w:rsidRPr="00F140E0" w:rsidRDefault="00BE44DA" w:rsidP="00BE44DA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3" w:name="page21R_mcid9"/>
      <w:bookmarkEnd w:id="13"/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Na każdym ćwiczeniu i seminarium obowiązuje znajomość materiału z zajęć bieżących oraz z poprzednio zrealizowanych. </w:t>
      </w:r>
    </w:p>
    <w:p w14:paraId="11AE92D7" w14:textId="77777777" w:rsidR="00BE44DA" w:rsidRPr="00F140E0" w:rsidRDefault="00BE44DA" w:rsidP="00BE44D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Ćwiczenia i seminaria zaliczane będą na podstawie odpowiedzi (pisemnej lub ustnej) na początku zajęć dotyczących zagadnień związanych z bieżącymi zajęciami. Oceny końcowe z ćwiczeń i seminariów są wystawiane na podstawie ocen z kolokwiów. Skala ocen jak na egzaminie (dalej). </w:t>
      </w:r>
    </w:p>
    <w:p w14:paraId="71440F5B" w14:textId="77777777" w:rsidR="00BE44DA" w:rsidRPr="00F140E0" w:rsidRDefault="00BE44DA" w:rsidP="00BE44DA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4" w:name="page3R_mcid24"/>
      <w:bookmarkEnd w:id="14"/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Ewentualna poprawa niezaliczonego ćwiczenia/seminarium odbywa się w formie ustnej  lub pisemnej w terminie do 7 dni od daty przeprowadzonych zajęć po wcześniejszym ustaleniu z osobą prowadzącą zajęcia. </w:t>
      </w:r>
      <w:bookmarkStart w:id="15" w:name="page32R_mcid0"/>
      <w:bookmarkEnd w:id="15"/>
      <w:r w:rsidRPr="00F140E0">
        <w:rPr>
          <w:rFonts w:ascii="Times New Roman" w:eastAsia="Times New Roman" w:hAnsi="Times New Roman" w:cs="Times New Roman"/>
          <w:sz w:val="22"/>
          <w:szCs w:val="22"/>
        </w:rPr>
        <w:t>Niezaliczone ćwiczenie/seminarium poprawić można tylko jeden raz.</w:t>
      </w:r>
    </w:p>
    <w:p w14:paraId="5B0DFA50" w14:textId="77777777" w:rsidR="00BE44DA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b. Informacje na temat zakresu materiału obowiązującego na danych zajęciach muszą być udostępnione najpóźniej tydzień przed datą realizowanych ćwiczeń.</w:t>
      </w:r>
    </w:p>
    <w:p w14:paraId="4248AA66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8BDF500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>5.3 Kolokwium</w:t>
      </w:r>
    </w:p>
    <w:p w14:paraId="2A6CFB0F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6" w:name="page21R_mcid12"/>
      <w:bookmarkEnd w:id="16"/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Po zakończeniu określonej partii materiału ćwiczeniowego i seminaryjnego zostanie przeprowadzone kolokwium w formie pisemnej (test), które student zobowiązany jest zaliczyć. </w:t>
      </w:r>
    </w:p>
    <w:p w14:paraId="31E8443E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W semestrze przewiduje się przeprowadzenie 2 kolokwiów.</w:t>
      </w:r>
    </w:p>
    <w:p w14:paraId="368ED78A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W bieżącym roku osobą odpowiedzialna za przeprowadzenie kolokwium jest koordynator przedmiotu: dr n. med. Krzysztof Nosek. Zakres tematyczny obowiązujący na dane kolokwium jest zawarty w harmonogramie zajęć. </w:t>
      </w:r>
    </w:p>
    <w:p w14:paraId="20EF9AE2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Student zostanie poinformowany o zakresie materiału obowiązującym na kolokwium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br/>
        <w:t>na pierwszych zajęciach.</w:t>
      </w:r>
    </w:p>
    <w:p w14:paraId="23158A19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Warunkiem zaliczenia kolokwiów jest uzyskanie co najmniej 60% punktów przewidzianych na danym sprawdzianie. Skala ocen jak na egzaminie (dalej).</w:t>
      </w:r>
    </w:p>
    <w:p w14:paraId="0C5FAB31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Do kolokwium w pierwszym terminie mogą przystąpić studenci, którzy zaliczyli wszystkie ćwiczenia lub seminaria z danego działu. Pozostałe osoby przystępują do kolokwium w drugim terminie. Student ma prawo do 2-krotnego zaliczania kolokwium.</w:t>
      </w:r>
    </w:p>
    <w:p w14:paraId="4D371C90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Poprawa niezaliczonego kolokwium odbywać się będzie w terminie od 7 do 10 dni od ogłoszenia wyników pierwszego terminu sprawdzianu (w terminie ustalonym z koordynatorem przedmiotu).  </w:t>
      </w:r>
    </w:p>
    <w:p w14:paraId="564FAF21" w14:textId="77777777" w:rsidR="00BE44DA" w:rsidRPr="00F140E0" w:rsidRDefault="00BE44DA" w:rsidP="00BE44DA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Nieobecność nieusprawiedliwiona na kolokwium jest równoznaczna z otrzymaniem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br/>
        <w:t xml:space="preserve">oceny niedostatecznej. </w:t>
      </w:r>
      <w:bookmarkStart w:id="17" w:name="page23R_mcid5"/>
      <w:bookmarkEnd w:id="17"/>
      <w:r w:rsidRPr="00F140E0">
        <w:rPr>
          <w:rFonts w:ascii="Times New Roman" w:eastAsia="Times New Roman" w:hAnsi="Times New Roman" w:cs="Times New Roman"/>
          <w:sz w:val="22"/>
          <w:szCs w:val="22"/>
        </w:rPr>
        <w:t>Niezaliczenie któregokolwiek z kolokwiów w pierwszym i drugim terminie, oznacza niezaliczenie określonego działu materiału oraz ćwiczeń z nim związanych i w konsekwencji kwalifikuje studenta do pisania kolokwium dopuszczającego do zaliczenia końcowego (zaliczenie to stanowi trzeci termin kolokwium – zgodnie z regulaminem ogólnouczelnianym) obejmującego całość materiału.</w:t>
      </w:r>
    </w:p>
    <w:p w14:paraId="49FE77A1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Z</w:t>
      </w: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aliczenie semestralne</w:t>
      </w:r>
    </w:p>
    <w:p w14:paraId="424031E1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a. Przedmiot „Farmakologia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z toksykologią kliniczną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” kończy się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zaliczeniem z oceną.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Warunkiem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zaliczenia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jest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pozytywne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zaliczenie dwóch kolokwiów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przeprowadzony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ch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w formie testu pisemnego</w:t>
      </w:r>
      <w:bookmarkStart w:id="18" w:name="page23R_mcid1"/>
      <w:bookmarkEnd w:id="18"/>
      <w:r>
        <w:rPr>
          <w:rFonts w:ascii="Times New Roman" w:eastAsia="Times New Roman" w:hAnsi="Times New Roman" w:cs="Times New Roman"/>
          <w:sz w:val="22"/>
          <w:szCs w:val="22"/>
        </w:rPr>
        <w:t xml:space="preserve"> (patrz pkt. 5.3)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3C66F23" w14:textId="77777777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b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. Oceny z kolokwiów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będą przyznawane według następujących kryteriów:</w:t>
      </w:r>
    </w:p>
    <w:p w14:paraId="5EA268DB" w14:textId="77777777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poniżej 60% punktów – ocena niedostateczna (2)</w:t>
      </w:r>
    </w:p>
    <w:p w14:paraId="179D7CEB" w14:textId="77777777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od 60% do 69,99% punktów – ocena dostateczna (3)</w:t>
      </w:r>
    </w:p>
    <w:p w14:paraId="0FCDF14E" w14:textId="77777777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od 70% do 79,99% punktów – ocena dość dobra (3,5)</w:t>
      </w:r>
    </w:p>
    <w:p w14:paraId="6AAEFE12" w14:textId="77777777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od 80% do 89,99% punktów – ocena dobra (4)</w:t>
      </w:r>
    </w:p>
    <w:p w14:paraId="5655F658" w14:textId="77777777" w:rsidR="00BE44DA" w:rsidRPr="00F140E0" w:rsidRDefault="00BE44DA" w:rsidP="00BE44DA">
      <w:pPr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od 90% do 94,99% punktów – ocena ponad dobra (4,5)</w:t>
      </w:r>
    </w:p>
    <w:p w14:paraId="3AD866D6" w14:textId="77777777" w:rsidR="00BE44DA" w:rsidRPr="00F140E0" w:rsidRDefault="00BE44DA" w:rsidP="00BE44DA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od 95% do 100% punktów – ocena bardzo dobra (5)</w:t>
      </w:r>
    </w:p>
    <w:p w14:paraId="1AEDE38E" w14:textId="77777777" w:rsidR="00BE44DA" w:rsidRPr="009E3735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. Zgodnie z Regulaminem Studiów UWM student ma prawo do trzykrotnego podejścia do </w:t>
      </w:r>
      <w:r>
        <w:rPr>
          <w:rFonts w:ascii="Times New Roman" w:eastAsia="Times New Roman" w:hAnsi="Times New Roman" w:cs="Times New Roman"/>
          <w:sz w:val="22"/>
          <w:szCs w:val="22"/>
        </w:rPr>
        <w:t>kolokwium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: I termin, II termin (I poprawkowy), III termin (II poprawkowy).</w:t>
      </w:r>
    </w:p>
    <w:p w14:paraId="333F80D3" w14:textId="77777777" w:rsidR="00BE44DA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19" w:name="page25R_mcid0"/>
      <w:bookmarkEnd w:id="19"/>
    </w:p>
    <w:p w14:paraId="263DE802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7. Określenie zasad wglądu do poszczególnych form zaliczeń</w:t>
      </w:r>
    </w:p>
    <w:p w14:paraId="2FFA67E6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Wglądu w pracę pisemną (kolokwia) można dokonać po uprzednim ustaleniu terminu z prowadzącym dane kolokwium </w:t>
      </w:r>
      <w:r>
        <w:rPr>
          <w:rFonts w:ascii="Times New Roman" w:eastAsia="Times New Roman" w:hAnsi="Times New Roman" w:cs="Times New Roman"/>
          <w:sz w:val="22"/>
          <w:szCs w:val="22"/>
        </w:rPr>
        <w:t>lub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na terenie Katedry Farmakologii i Toksykologii.</w:t>
      </w:r>
    </w:p>
    <w:p w14:paraId="3470ADDC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>8. Akademicka praworządność i uczciwość</w:t>
      </w:r>
    </w:p>
    <w:p w14:paraId="61CA9973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a Niedopuszczalne jest korzystanie z telefonów komórkowych, innych urządzeń mobilnych oraz </w:t>
      </w:r>
      <w:proofErr w:type="spellStart"/>
      <w:r w:rsidRPr="00F140E0">
        <w:rPr>
          <w:rFonts w:ascii="Times New Roman" w:eastAsia="Times New Roman" w:hAnsi="Times New Roman" w:cs="Times New Roman"/>
          <w:sz w:val="22"/>
          <w:szCs w:val="22"/>
        </w:rPr>
        <w:t>internetu</w:t>
      </w:r>
      <w:proofErr w:type="spellEnd"/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w czasie zajęć bez zgody prowadzącego.</w:t>
      </w:r>
    </w:p>
    <w:p w14:paraId="346DCA63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b. Wszelkie próby ściągania lub przekazywania informacji podczas prac pisemnych, skutkują natychmiastowym przerwaniem sprawdzianu, przyznaniem oceny niedostatecznej, oraz zgłoszeniem zaistniałego faktu do władz Wydziału.</w:t>
      </w:r>
    </w:p>
    <w:p w14:paraId="72FA0A3C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c. Prowadzący zajęcia ocenia subiektywnie fakt wystąpienia niedozwolonych form naruszenia zasad akademickiej praworządności i uczciwości.</w:t>
      </w:r>
    </w:p>
    <w:p w14:paraId="7D678A91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d. Nagrywanie wykładów, wykonywanie zdjęć oraz nagrywanie filmów jest niedozwolone. Prowadzący zajęcia może udostępnić studentom dodatkowe materiały z zajęć, jeśli uzna to za stosowne.</w:t>
      </w:r>
    </w:p>
    <w:p w14:paraId="083BD6BD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e. Obowiązuje całkowity zakaz podłączania do komputera jakichkolwiek nośników pamięci masowej (płyty CD/DVD, USB) bez zgody prowadzącego zajęcia.</w:t>
      </w:r>
    </w:p>
    <w:p w14:paraId="7AA9C016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f. Wykonywanie jakiejkolwiek pracy na komputerze niezwiązanej z tematyką ćwiczeń oraz bez wiedzy i zezwolenia osoby prowadzącej ćwiczenia jest zabronione.</w:t>
      </w:r>
    </w:p>
    <w:p w14:paraId="5D3B0B5E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g. Konsekwencją postępowania studenta niezgodnie z regulaminem i wytycznymi BHP będzie wykluczenie jego uczestnictwa w zajęciach i uniemożliwia ich zaliczenie.</w:t>
      </w:r>
    </w:p>
    <w:p w14:paraId="3D300D42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9. Kwestie nieuregulowane w przedstawionym regulaminie zajęć z przedmiotu „Farmakologia” 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>w Katedrze Farmakologii i Toksykologii pozostają w gestii Kierownika Katedry.</w:t>
      </w:r>
    </w:p>
    <w:p w14:paraId="77797D55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10. Regulamin zajęć jest zgodny z Regulaminem Studiów UWM oraz procedurami obowiązującymi na</w:t>
      </w:r>
      <w:r w:rsidRPr="00F140E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Wydziale Nauk o Zdrowiu.</w:t>
      </w:r>
    </w:p>
    <w:p w14:paraId="0ACA165A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11. Szczegółowy opis zasad BHP obowiązujących w miejscu realizowania wszystkich form</w:t>
      </w:r>
    </w:p>
    <w:p w14:paraId="05C8208A" w14:textId="77777777" w:rsidR="00BE44DA" w:rsidRPr="00F140E0" w:rsidRDefault="00BE44DA" w:rsidP="00BE44D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b/>
          <w:bCs/>
          <w:sz w:val="22"/>
          <w:szCs w:val="22"/>
        </w:rPr>
        <w:t>zajęć</w:t>
      </w:r>
    </w:p>
    <w:p w14:paraId="6994F731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a. Studenci mogą przebywać w salach ćwiczeniowych w obecności prowadzącego zajęcia.</w:t>
      </w:r>
      <w:bookmarkStart w:id="20" w:name="page29R_mcid10"/>
      <w:bookmarkEnd w:id="20"/>
      <w:r w:rsidRPr="00F140E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DC0153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b. Niedopuszczalnym jest przebywanie na zajęciach pod wpływem alkoholu lub środków psychoaktywnych.</w:t>
      </w:r>
      <w:bookmarkStart w:id="21" w:name="page29R_mcid11"/>
      <w:bookmarkEnd w:id="21"/>
    </w:p>
    <w:p w14:paraId="1D2B7D8F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c. Zabrania się z korzystania z jakichkolwiek urządzeń będących na wyposażeniu pracowni, sali dydaktycznej bez wyraźnej zgody prowadzącego zajęcia.</w:t>
      </w:r>
      <w:bookmarkStart w:id="22" w:name="page29R_mcid12"/>
      <w:bookmarkEnd w:id="22"/>
    </w:p>
    <w:p w14:paraId="287C9777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d. Na terenie Katedry Farmakologii i Toksykologii należy utrzymywać porządek i czystość oraz zachować ciszę, palenie tytoniu jest wzbronione. W trakcie trwania zajęć zabrania się spożywania posiłków.</w:t>
      </w:r>
    </w:p>
    <w:p w14:paraId="4ECB72C4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hAnsi="Times New Roman" w:cs="Times New Roman"/>
          <w:sz w:val="22"/>
          <w:szCs w:val="22"/>
        </w:rPr>
        <w:t>e. Na terenie Katedry Farmakologii i Toksykologii obowiązuje zmiana obuwia bądź używanie nakładek ochronnych.</w:t>
      </w:r>
    </w:p>
    <w:p w14:paraId="6DFEAE6E" w14:textId="77777777" w:rsidR="00BE44DA" w:rsidRPr="00F140E0" w:rsidRDefault="00BE44DA" w:rsidP="00BE44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140E0">
        <w:rPr>
          <w:rFonts w:ascii="Times New Roman" w:eastAsia="Times New Roman" w:hAnsi="Times New Roman" w:cs="Times New Roman"/>
          <w:sz w:val="22"/>
          <w:szCs w:val="22"/>
        </w:rPr>
        <w:t>f. Wszelkie zdarzenia, wypadki należy natychmiast zgłaszać osobie prowadzącej zajęcia dydaktyczne.</w:t>
      </w:r>
      <w:bookmarkStart w:id="23" w:name="page29R_mcid2"/>
      <w:bookmarkStart w:id="24" w:name="page29R_mcid3"/>
      <w:bookmarkStart w:id="25" w:name="page29R_mcid4"/>
      <w:bookmarkStart w:id="26" w:name="page29R_mcid5"/>
      <w:bookmarkStart w:id="27" w:name="page29R_mcid6"/>
      <w:bookmarkStart w:id="28" w:name="page29R_mcid7"/>
      <w:bookmarkStart w:id="29" w:name="page29R_mcid0"/>
      <w:bookmarkStart w:id="30" w:name="page29R_mcid1"/>
      <w:bookmarkStart w:id="31" w:name="page36R_mcid26"/>
      <w:bookmarkStart w:id="32" w:name="page36R_mcid27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5E769B02" w14:textId="77777777" w:rsidR="00BE44DA" w:rsidRDefault="00BE44DA" w:rsidP="00BE44DA">
      <w:pPr>
        <w:rPr>
          <w:rFonts w:hint="eastAsia"/>
        </w:rPr>
      </w:pPr>
    </w:p>
    <w:p w14:paraId="07258F0C" w14:textId="77777777" w:rsidR="00BE44DA" w:rsidRDefault="00BE44DA" w:rsidP="00BE44DA">
      <w:pPr>
        <w:rPr>
          <w:rFonts w:hint="eastAsia"/>
        </w:rPr>
      </w:pPr>
    </w:p>
    <w:p w14:paraId="6949AB3D" w14:textId="77777777" w:rsidR="00DE7EE6" w:rsidRDefault="00DE7EE6"/>
    <w:sectPr w:rsidR="00DE7EE6" w:rsidSect="00BE44DA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F2103"/>
    <w:multiLevelType w:val="multilevel"/>
    <w:tmpl w:val="64F463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;Arial Unicode MS" w:hint="default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;Arial Unicode MS" w:hint="default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;Arial Unicode MS" w:hint="default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;Arial Unicode MS" w:hint="default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;Arial Unicode MS" w:hint="default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;Arial Unicode MS" w:hint="default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;Arial Unicode MS" w:hint="default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;Arial Unicode MS" w:hint="default"/>
        <w:sz w:val="24"/>
        <w:szCs w:val="24"/>
      </w:rPr>
    </w:lvl>
  </w:abstractNum>
  <w:abstractNum w:abstractNumId="1" w15:restartNumberingAfterBreak="0">
    <w:nsid w:val="21E7612A"/>
    <w:multiLevelType w:val="multilevel"/>
    <w:tmpl w:val="B05C404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b w:val="0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;Arial Unicode MS" w:hint="default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;Arial Unicode MS" w:hint="default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;Arial Unicode MS" w:hint="default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;Arial Unicode MS" w:hint="default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;Arial Unicode MS" w:hint="default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;Arial Unicode MS" w:hint="default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;Arial Unicode MS" w:hint="default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;Arial Unicode MS" w:hint="default"/>
        <w:sz w:val="24"/>
        <w:szCs w:val="24"/>
      </w:rPr>
    </w:lvl>
  </w:abstractNum>
  <w:abstractNum w:abstractNumId="2" w15:restartNumberingAfterBreak="0">
    <w:nsid w:val="4D853CA2"/>
    <w:multiLevelType w:val="multilevel"/>
    <w:tmpl w:val="867CCC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;Arial Unicode MS" w:hint="default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;Arial Unicode MS" w:hint="default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;Arial Unicode MS" w:hint="default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;Arial Unicode MS" w:hint="default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;Arial Unicode MS" w:hint="default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;Arial Unicode MS" w:hint="default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;Arial Unicode MS" w:hint="default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;Arial Unicode MS" w:hint="default"/>
        <w:sz w:val="24"/>
        <w:szCs w:val="24"/>
      </w:rPr>
    </w:lvl>
  </w:abstractNum>
  <w:abstractNum w:abstractNumId="3" w15:restartNumberingAfterBreak="0">
    <w:nsid w:val="707471FA"/>
    <w:multiLevelType w:val="multilevel"/>
    <w:tmpl w:val="CB1468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b w:val="0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;Arial Unicode MS" w:hint="default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;Arial Unicode MS" w:hint="default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;Arial Unicode MS" w:hint="default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;Arial Unicode MS" w:hint="default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;Arial Unicode MS" w:hint="default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;Arial Unicode MS" w:hint="default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;Arial Unicode MS" w:hint="default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;Arial Unicode MS" w:hint="default"/>
        <w:sz w:val="24"/>
        <w:szCs w:val="24"/>
      </w:rPr>
    </w:lvl>
  </w:abstractNum>
  <w:num w:numId="1" w16cid:durableId="910578963">
    <w:abstractNumId w:val="2"/>
  </w:num>
  <w:num w:numId="2" w16cid:durableId="36515469">
    <w:abstractNumId w:val="0"/>
  </w:num>
  <w:num w:numId="3" w16cid:durableId="280307358">
    <w:abstractNumId w:val="1"/>
  </w:num>
  <w:num w:numId="4" w16cid:durableId="1162963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DA"/>
    <w:rsid w:val="003D0160"/>
    <w:rsid w:val="0044078E"/>
    <w:rsid w:val="00442113"/>
    <w:rsid w:val="00BE44DA"/>
    <w:rsid w:val="00DE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E362"/>
  <w15:chartTrackingRefBased/>
  <w15:docId w15:val="{D3C3FAD4-DF2C-49F1-8922-8A1CA176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4DA"/>
    <w:pPr>
      <w:suppressAutoHyphens/>
      <w:spacing w:after="0" w:line="240" w:lineRule="auto"/>
    </w:pPr>
    <w:rPr>
      <w:rFonts w:ascii="Liberation Serif;Times New Roma" w:eastAsia="NSimSun" w:hAnsi="Liberation Serif;Times New Roma" w:cs="Mangal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4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4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4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4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4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44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44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44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44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4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4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4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44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44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44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44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44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44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44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4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4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4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4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44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44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44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4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44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44DA"/>
    <w:rPr>
      <w:b/>
      <w:bCs/>
      <w:smallCaps/>
      <w:color w:val="0F4761" w:themeColor="accent1" w:themeShade="BF"/>
      <w:spacing w:val="5"/>
    </w:rPr>
  </w:style>
  <w:style w:type="character" w:customStyle="1" w:styleId="Mocnowyrniony">
    <w:name w:val="Mocno wyróżniony"/>
    <w:qFormat/>
    <w:rsid w:val="00BE44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1444</Words>
  <Characters>8666</Characters>
  <Application>Microsoft Office Word</Application>
  <DocSecurity>0</DocSecurity>
  <Lines>72</Lines>
  <Paragraphs>20</Paragraphs>
  <ScaleCrop>false</ScaleCrop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Jurewicz</dc:creator>
  <cp:keywords/>
  <dc:description/>
  <cp:lastModifiedBy>Agnieszka Jurewicz</cp:lastModifiedBy>
  <cp:revision>1</cp:revision>
  <dcterms:created xsi:type="dcterms:W3CDTF">2025-10-06T10:15:00Z</dcterms:created>
  <dcterms:modified xsi:type="dcterms:W3CDTF">2025-10-06T10:17:00Z</dcterms:modified>
</cp:coreProperties>
</file>