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10F923E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Sylabus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przedmiotu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</w:p>
        </w:tc>
      </w:tr>
      <w:tr w:rsidR="00223CCB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48SJ-MEDRO12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Medycyna rodzinna 1/2</w:t>
            </w:r>
          </w:p>
        </w:tc>
      </w:tr>
      <w:tr w:rsidR="00223CCB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Family medicine 1/2</w:t>
            </w:r>
          </w:p>
        </w:tc>
      </w:tr>
      <w:tr w:rsidR="00223CCB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4.00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TREŚCI MERYTORYCZNE:</w:t>
            </w:r>
          </w:p>
          <w:p w14:paraId="2168BF94" w14:textId="77777777" w:rsidR="00223CCB" w:rsidRDefault="00223CCB">
            <w:pPr>
              <w:spacing w:after="0" w:line="240" w:lineRule="auto"/>
            </w:pPr>
          </w:p>
          <w:p w14:paraId="4A8A6416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Wykład</w:t>
            </w:r>
          </w:p>
          <w:p w14:paraId="3A2E793C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1. Profilaktyka i promocja zdrowia. 2. Laktacja, leczenie matki karmiącej, kinetyka transportu leków do  mleka. 3. Szczepienia w praktyce POZ 4. Infekcje górnych dróg oddechowych.  5. Odpowiedzialność prawna lekarza rodzinnego, podejmowanie decyzji. 6. Uzależnienia. Przemoc w rodzinie. 7. Podstawy organizacyjno-prawne medycyny rodzinnej. 8. Problemy nefrologiczne w praktyce lekarza rodzinnego 9. Choroby układ oddechowy w praktyce lekarza rodzinnego.</w:t>
            </w:r>
          </w:p>
          <w:p w14:paraId="23EDB316" w14:textId="77777777" w:rsidR="00223CCB" w:rsidRDefault="00223CCB">
            <w:pPr>
              <w:spacing w:after="0" w:line="240" w:lineRule="auto"/>
            </w:pPr>
          </w:p>
          <w:p w14:paraId="34B07B83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Seminarium</w:t>
            </w:r>
          </w:p>
          <w:p w14:paraId="717F2674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Organizacja praktyki lekarza rodzinnego. Formy organizacji prawnej praktyki lekarza rodzinnego. Zakres kompetencji lekarza rodzinnego. Struktura organizacyjna obecnego systemu opieki zdrowotnej. Zależność fachowa, finansowa, polityczna. Współpraca z pielęgniarką środowiskowo-rodzinną. Współpraca z położną środowiskowo rodzinną.Podstawy orzecznictwa lekarskiego. Orzekanie o czasowej niezdolności do pracy. Orzekanie rentowe. Grupy inwalidzkie. Wnioski o leczenie sanatoryjne. Przewlekły zespół bólowy kręgosłupa. Bóle kostnostawowe, diagnostyka i postępowanie. Nadciśnienie tętnicze i choroba wieńcowa. Choroby nerek w praktyce lekarza rodzinnego. Choroby hematologiczne w praktyce lekarza rodzinnego. Najpowszechniejsze dolegliwości gastryczne i metody postępowania. Przewlekła terapia przeciwzakrzepowa.</w:t>
            </w:r>
          </w:p>
          <w:p w14:paraId="35F3367D" w14:textId="77777777" w:rsidR="00223CCB" w:rsidRDefault="00223CCB">
            <w:pPr>
              <w:spacing w:after="0" w:line="240" w:lineRule="auto"/>
            </w:pPr>
          </w:p>
          <w:p w14:paraId="4E7E271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Ćwiczenia</w:t>
            </w:r>
          </w:p>
          <w:p w14:paraId="58AF44DF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Bezpośrednie uczestniczenie w przyjęciach w praktyce lekarskiej. Samodzielne udzielanie porad lekarskich wraz z zaleceniami dotyczącymi diagnostyki i terapii.</w:t>
            </w:r>
          </w:p>
          <w:p w14:paraId="56F207D6" w14:textId="77777777" w:rsidR="00223CCB" w:rsidRDefault="00223CCB">
            <w:pPr>
              <w:spacing w:after="0" w:line="240" w:lineRule="auto"/>
            </w:pPr>
          </w:p>
          <w:p w14:paraId="14708324" w14:textId="77777777" w:rsidR="00223CCB" w:rsidRDefault="00223CCB">
            <w:pPr>
              <w:spacing w:after="0" w:line="240" w:lineRule="auto"/>
              <w:jc w:val="both"/>
            </w:pPr>
          </w:p>
          <w:p w14:paraId="3B63BDA4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CEL KSZTAŁCENIA:</w:t>
            </w:r>
          </w:p>
          <w:p w14:paraId="4C5CFCCF" w14:textId="3DBE49D4" w:rsidR="00223CCB" w:rsidRDefault="00000000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Zapoznanie ze specyfiką pracy lekarza rodzinnego, jego rolą w systemie opieki zdrowotnej min. specyfiki problemów pediatrycznych, problemów wieku dorosłego oraz problemów geriatrycznych realizowanych w podstawowe j opiece zdrowotnej. Rozwiązywanie problemów z zakresu patologii rodzinnej i środowiskowej, przemocy w rodzinie, opieki w rodzinie, opieki nad przewlekle chorym, wraz z zadaniami  z zakresu medycyny paliatywnej.  Rozpoznawanie i terapia uzależnień w praktyce lekarza rodzinnego.</w:t>
            </w:r>
          </w:p>
          <w:p w14:paraId="265B7F92" w14:textId="77777777" w:rsidR="00223CCB" w:rsidRDefault="00223CCB">
            <w:pPr>
              <w:spacing w:after="0" w:line="240" w:lineRule="auto"/>
            </w:pPr>
          </w:p>
          <w:p w14:paraId="1F39CCDF" w14:textId="77777777" w:rsidR="00223CCB" w:rsidRDefault="00223CCB">
            <w:pPr>
              <w:spacing w:after="0" w:line="240" w:lineRule="auto"/>
            </w:pPr>
          </w:p>
          <w:p w14:paraId="07754FC5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6E3AF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dyscyplinowych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D901A0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220468C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3F202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kierunkowych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FC17A52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K.1.+, K.2.+, K.3.+, E.U1.+, E.U3.+, E.U29.+, E.U38.+, M/NM_E.W3.+, M/NM_E.W38.+, M/NM_E.W39.+</w:t>
            </w:r>
          </w:p>
          <w:p w14:paraId="2C7E79D3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B146BE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EFEKTY UCZENIA SIĘ 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Wiedza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Umiejętności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Kompetencje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społeczne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223CCB" w14:paraId="18EE5D9F" w14:textId="77777777">
              <w:tc>
                <w:tcPr>
                  <w:tcW w:w="721" w:type="dxa"/>
                </w:tcPr>
                <w:p w14:paraId="64B53AC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przyczyny, objawy, zasady diagnozowania i postępowania terapeutycznego w przypadku najczęstszych chorób dzieci: 1) krzywicy, tężyczki, drgawek, 2) wad serca, zapalenia mięśnia sercowego, wsierdzia i osierdzia, kardiomiopatii, zaburzeń rytmu serca, niewydolności serca, nadciśnienia tętniczego, omdleń, 3) ostrych i przewlekłych chorób górnych i dolnych dróg oddechowych, wad wrodzonych układu oddechowego, gruźlicy, mukowiscydozy, astmy, alergicznego nieżytu nosa, pokrzywki, wstrząsu anafilaktycznego, obrzęku naczynioworuchowego, 4) niedokrwistości, skaz krwotocznych, stanów niewydolności szpiku, chorób nowotworowych wieku dziecięcego, w tym guzów litych typowych dla wieku dziecięcego, 5) ostrych i przewlekłych bólów brzucha, wymiotów, biegunek, zaparć, krwawień z przewodu pokarmowego, choroby wrzodowej, nieswoistych chorób jelit, chorób trzustki, cholestaz i chorób wątroby oraz innych chorób nabytych i wad wrodzonych przewodu pokarmowego, 6) zakażeń układu moczowego, wad wrodzonych układu moczowego, zespołu nerczycowego, kamicy nerkowej, ostrej i przewlekłej niewydolności nerek, ostrych i przewlekłych zapaleń nerek, chorób układowych nerek, zaburzeń oddawania moczu, choroby refluksowej pęcherzowo-moczowodowej, 7) zaburzeń wzrastania, chorób tarczycy i przytarczyc, chorób nadnerczy, cukrzycy, otyłości, zaburzeń dojrzewania i funkcji gonad, 8) mózgowego porażenia dziecięcego, zapaleń mózgu i opon mózgowo-rdzeniowych, padaczki, 9) najczęstszych chorób zakaźnych wieku dziecięcego, 10) zespołów genetycznych, 11) chorób tkanki łącznej, gorączki reumatycznej, młodzieńczego zapalenia stawów, tocznia układowego, zapalenia skórno-mięśniowego</w:t>
                  </w:r>
                </w:p>
              </w:tc>
            </w:tr>
            <w:tr w:rsidR="00223CCB" w14:paraId="7A9E1068" w14:textId="77777777">
              <w:tc>
                <w:tcPr>
                  <w:tcW w:w="721" w:type="dxa"/>
                </w:tcPr>
                <w:p w14:paraId="1E237B0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52329C2B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przyczyny, objawy, zasady diagnozowania i postępowania terapeutycznego w najczęstszych chorobach i specyficznych problemach w praktyce lekarza rodzinnego</w:t>
                  </w:r>
                </w:p>
              </w:tc>
            </w:tr>
            <w:tr w:rsidR="00223CCB" w14:paraId="6D20744B" w14:textId="77777777">
              <w:tc>
                <w:tcPr>
                  <w:tcW w:w="721" w:type="dxa"/>
                </w:tcPr>
                <w:p w14:paraId="1CE8707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C2FB43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rodzaje materiałów biologicznych wykorzystywanych w diagnostyce laboratoryjnej i zasady pobierania materiału do badań</w:t>
                  </w:r>
                </w:p>
              </w:tc>
            </w:tr>
            <w:tr w:rsidR="00223CCB" w14:paraId="373FBD72" w14:textId="77777777">
              <w:tc>
                <w:tcPr>
                  <w:tcW w:w="721" w:type="dxa"/>
                </w:tcPr>
                <w:p w14:paraId="111A5FCE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3BDA0D5F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przeprowadzać wywiad lekarski z pacjentem dorosłym</w:t>
                  </w:r>
                </w:p>
              </w:tc>
            </w:tr>
            <w:tr w:rsidR="00223CCB" w14:paraId="4F59B7E5" w14:textId="77777777">
              <w:tc>
                <w:tcPr>
                  <w:tcW w:w="721" w:type="dxa"/>
                </w:tcPr>
                <w:p w14:paraId="23538047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556CF0AB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przeprowadzać pełne i ukierunkowane badanie fizykalne pacjenta dorosłego</w:t>
                  </w:r>
                </w:p>
              </w:tc>
            </w:tr>
            <w:tr w:rsidR="00223CCB" w14:paraId="72EA031E" w14:textId="77777777">
              <w:tc>
                <w:tcPr>
                  <w:tcW w:w="721" w:type="dxa"/>
                </w:tcPr>
                <w:p w14:paraId="3FF0BBFC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1688CB0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wykonywać podstawowe procedury i zabiegi medyczne w tym: 1) pomiar temperatury ciała (powierzchownej oraz głębokiej), pomiar tętna, nieinwazyjny pomiar ciśnienia tętniczego, 2) monitorowanie parametrów życiowych przy pomocy kardiomonitora, pulsoksymetrię, 3) badanie spirometryczne, leczenie tlenem, wentylację wspomaganą i zastępczą, 4) wprowadzenie rurki ustno-gardłowej, 5) wstrzyknięcia dożylne, domięśniowe i podskórne, kaniulację żył obwodowych, pobieranie obwodowej krwi żylnej, pobieranie krwi na posiew, pobieranie krwi tętniczej, pobieranie arterializowanej krwi włośniczkowej, 6) pobieranie wymazów z nosa, gardła i skóry, 7) cewnikowanie pęcherza moczowego u kobiet i mężczyzn, zgłębnikowanie żołądka, płukanie żołądka, enemę, 8) standardowy elektrokardiogram spoczynkowy wraz z interpretacją, kardiowersję elektryczną i defibrylację serca, 9) proste testy paskowe i pomiar stężenia glukozy we krwi</w:t>
                  </w:r>
                </w:p>
              </w:tc>
            </w:tr>
            <w:tr w:rsidR="00223CCB" w14:paraId="0790FDDF" w14:textId="77777777">
              <w:tc>
                <w:tcPr>
                  <w:tcW w:w="721" w:type="dxa"/>
                </w:tcPr>
                <w:p w14:paraId="1686852B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U4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41AF926C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prowadzić dokumentację medyczną pacjenta</w:t>
                  </w:r>
                </w:p>
              </w:tc>
            </w:tr>
            <w:tr w:rsidR="00223CCB" w14:paraId="4A35C997" w14:textId="77777777">
              <w:tc>
                <w:tcPr>
                  <w:tcW w:w="721" w:type="dxa"/>
                </w:tcPr>
                <w:p w14:paraId="6068162C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4277EB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nawiązania i utrzymania głębokiego oraz pełnego szacunku kontaktu z pacjentem, a także okazywania zrozumienia dla różnic światopoglądowych i kulturowych</w:t>
                  </w:r>
                </w:p>
              </w:tc>
            </w:tr>
            <w:tr w:rsidR="00223CCB" w14:paraId="456BE964" w14:textId="77777777">
              <w:tc>
                <w:tcPr>
                  <w:tcW w:w="721" w:type="dxa"/>
                </w:tcPr>
                <w:p w14:paraId="0C8370C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298A9B13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kierowania się dobrem pacjenta</w:t>
                  </w:r>
                </w:p>
              </w:tc>
            </w:tr>
            <w:tr w:rsidR="00223CCB" w14:paraId="3A5DE26A" w14:textId="77777777">
              <w:tc>
                <w:tcPr>
                  <w:tcW w:w="721" w:type="dxa"/>
                </w:tcPr>
                <w:p w14:paraId="57E571B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848C297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przestrzegania tajemnicy lekarskiej i praw pacjenta</w:t>
                  </w:r>
                </w:p>
              </w:tc>
            </w:tr>
          </w:tbl>
          <w:p w14:paraId="757516E9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FCD538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98C8077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Default="00000000" w:rsidP="00C30F1A">
                  <w:pPr>
                    <w:spacing w:after="0" w:line="240" w:lineRule="auto"/>
                  </w:pPr>
                  <w:r>
                    <w:t>Wykład-['K1', 'K2', 'K3', 'W1', 'W2', 'W3']-wykład</w:t>
                  </w:r>
                </w:p>
              </w:tc>
            </w:tr>
            <w:tr w:rsidR="00223CCB" w14:paraId="76F2294F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3C1E4" w14:textId="77777777" w:rsidR="00223CCB" w:rsidRDefault="00000000" w:rsidP="00C30F1A">
                  <w:pPr>
                    <w:spacing w:after="0" w:line="240" w:lineRule="auto"/>
                  </w:pPr>
                  <w:r>
                    <w:t>Seminarium-['K1', 'K2', 'K3', 'W1', 'W2', 'W3']-seminarium</w:t>
                  </w:r>
                </w:p>
              </w:tc>
            </w:tr>
            <w:tr w:rsidR="00223CCB" w14:paraId="626F6BFB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7A19A" w14:textId="77777777" w:rsidR="00223CCB" w:rsidRDefault="00000000" w:rsidP="00C30F1A">
                  <w:pPr>
                    <w:spacing w:after="0" w:line="240" w:lineRule="auto"/>
                  </w:pPr>
                  <w:r>
                    <w:t>Ćwiczenia-['K1', 'K2', 'K3', 'U1', 'U2', 'U3', 'U4', 'W1', 'W2', 'W3']-ćwiczenia praktyczne</w:t>
                  </w:r>
                </w:p>
              </w:tc>
            </w:tr>
          </w:tbl>
          <w:p w14:paraId="0EFDCACB" w14:textId="77777777" w:rsidR="00223CCB" w:rsidRDefault="00223CCB">
            <w:pPr>
              <w:spacing w:after="0" w:line="240" w:lineRule="auto"/>
            </w:pPr>
          </w:p>
          <w:p w14:paraId="39597FE0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77777777" w:rsidR="00223CCB" w:rsidRDefault="00000000" w:rsidP="00302397">
                  <w:pPr>
                    <w:spacing w:after="0" w:line="240" w:lineRule="auto"/>
                  </w:pPr>
                  <w:r>
                    <w:t>Wykład-(Test kompetencyjny)-['W1', 'W2', 'W3']-test składający się z 50 pytań wielokrotnego wyboru obejmujący zakres tematów seminariów i wykładów; warunkiem zaliczenia jest uzyskanie minimum 60% prawidłowych odpowiedzi</w:t>
                  </w:r>
                </w:p>
              </w:tc>
            </w:tr>
            <w:tr w:rsidR="00223CCB" w14:paraId="5E8367F0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E709F" w14:textId="77777777" w:rsidR="00223CCB" w:rsidRDefault="00000000" w:rsidP="00302397">
                  <w:pPr>
                    <w:spacing w:after="0" w:line="240" w:lineRule="auto"/>
                  </w:pPr>
                  <w:r>
                    <w:t>Seminarium-(Udział w dyskusji)-['W1', 'W2', 'W3']-omawianie problemów, studium przypadków</w:t>
                  </w:r>
                </w:p>
              </w:tc>
            </w:tr>
            <w:tr w:rsidR="00223CCB" w14:paraId="50EED1B3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75CC4" w14:textId="77777777" w:rsidR="00223CCB" w:rsidRDefault="00000000" w:rsidP="00302397">
                  <w:pPr>
                    <w:spacing w:after="0" w:line="240" w:lineRule="auto"/>
                  </w:pPr>
                  <w:r>
                    <w:t>Ćwiczenia-(Kolokwium praktyczne)-['K1', 'K2', 'K3', 'U1', 'U2', 'U3', 'U4', 'W1', 'W2', 'W3']-studenci uczestniczą w przyjęciach pacjentów w POZ, wymagana jest umiejętność zbierania wywiadu w sposób celowany, znajomość podstaw badania fizykalnego, interpretacji wyników badań, umiejętność ordynowania podstawowych leków w tym przede wszystkim antybiotyków i NLPZ</w:t>
                  </w:r>
                </w:p>
              </w:tc>
            </w:tr>
          </w:tbl>
          <w:p w14:paraId="238E3578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1A5F8EA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223CCB" w14:paraId="6BEDAE84" w14:textId="77777777">
              <w:tc>
                <w:tcPr>
                  <w:tcW w:w="8284" w:type="dxa"/>
                </w:tcPr>
                <w:p w14:paraId="25CAB0CF" w14:textId="77777777" w:rsidR="00223CCB" w:rsidRDefault="00000000">
                  <w:pPr>
                    <w:pStyle w:val="TableContents"/>
                  </w:pPr>
                  <w:r>
                    <w:t xml:space="preserve">1.  </w:t>
                  </w:r>
                  <w:r>
                    <w:rPr>
                      <w:b/>
                      <w:bCs/>
                      <w:i/>
                      <w:iCs/>
                    </w:rPr>
                    <w:t>Medycyna rodzinna</w:t>
                  </w:r>
                  <w:r>
                    <w:t xml:space="preserve">, Latkowski B., Lukas W., Godycki-Ćwirko M.,  Wydawnictwo Lekarskie PZWL, 2017, Strony: , Tom:I, II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2733A838" w14:textId="77777777">
              <w:tc>
                <w:tcPr>
                  <w:tcW w:w="8284" w:type="dxa"/>
                </w:tcPr>
                <w:p w14:paraId="74EF9BA9" w14:textId="77777777" w:rsidR="00223CCB" w:rsidRDefault="00000000">
                  <w:pPr>
                    <w:pStyle w:val="TableContents"/>
                  </w:pPr>
                  <w:r>
                    <w:t xml:space="preserve">2.  </w:t>
                  </w:r>
                  <w:r>
                    <w:rPr>
                      <w:b/>
                      <w:bCs/>
                      <w:i/>
                      <w:iCs/>
                    </w:rPr>
                    <w:t>Medycyna rodzinna. Podręcznik dla lekarzy  i studentów</w:t>
                  </w:r>
                  <w:r>
                    <w:t xml:space="preserve">, Windak A., Chlabicz S., Mastalerz-Migas A.,  Wydawnictwo Termedia, 2015,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5837F18B" w14:textId="77777777">
              <w:tc>
                <w:tcPr>
                  <w:tcW w:w="8284" w:type="dxa"/>
                </w:tcPr>
                <w:p w14:paraId="03C92FB5" w14:textId="77777777" w:rsidR="00223CCB" w:rsidRDefault="00000000">
                  <w:pPr>
                    <w:pStyle w:val="TableContents"/>
                  </w:pPr>
                  <w:r>
                    <w:t xml:space="preserve">3.  </w:t>
                  </w:r>
                  <w:r>
                    <w:rPr>
                      <w:b/>
                      <w:bCs/>
                      <w:i/>
                      <w:iCs/>
                    </w:rPr>
                    <w:t>Przewodnik antybiotykoterapii 2023</w:t>
                  </w:r>
                  <w:r>
                    <w:t xml:space="preserve">, Dzierżanowska-Fangrat K.,  Wydawnictwo Alfa Medica Press, 2023,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573F55B0" w14:textId="77777777">
              <w:tc>
                <w:tcPr>
                  <w:tcW w:w="8284" w:type="dxa"/>
                </w:tcPr>
                <w:p w14:paraId="753A4393" w14:textId="77777777" w:rsidR="00223CCB" w:rsidRDefault="00000000">
                  <w:pPr>
                    <w:pStyle w:val="TableContents"/>
                  </w:pPr>
                  <w:r>
                    <w:t xml:space="preserve">4.  </w:t>
                  </w:r>
                  <w:r>
                    <w:rPr>
                      <w:b/>
                      <w:bCs/>
                      <w:i/>
                      <w:iCs/>
                    </w:rPr>
                    <w:t>Interna Szczeklika 2023</w:t>
                  </w:r>
                  <w:r>
                    <w:t xml:space="preserve">, Szczeklik A., Gajewski P.,  Wydawnictwo Medycyna Praktyczna, 2023, Strony: , Tom: (literatura uzupełniająca) </w:t>
                  </w:r>
                </w:p>
              </w:tc>
            </w:tr>
            <w:tr w:rsidR="00223CCB" w14:paraId="79580A95" w14:textId="77777777">
              <w:tc>
                <w:tcPr>
                  <w:tcW w:w="8284" w:type="dxa"/>
                </w:tcPr>
                <w:p w14:paraId="33C7215F" w14:textId="77777777" w:rsidR="00223CCB" w:rsidRDefault="00000000">
                  <w:pPr>
                    <w:pStyle w:val="TableContents"/>
                  </w:pPr>
                  <w:r>
                    <w:t xml:space="preserve">5.  </w:t>
                  </w:r>
                  <w:r>
                    <w:rPr>
                      <w:b/>
                      <w:bCs/>
                      <w:i/>
                      <w:iCs/>
                    </w:rPr>
                    <w:t>Pediatria</w:t>
                  </w:r>
                  <w:r>
                    <w:t xml:space="preserve">, Kulus M., Grenda R., Kawalec W.,  Wydawnictwo Lekarskie PZWL, 2018, Strony: , Tom: (literatura uzupełniająca) </w:t>
                  </w:r>
                </w:p>
              </w:tc>
            </w:tr>
            <w:tr w:rsidR="00223CCB" w14:paraId="6E3CCB67" w14:textId="77777777">
              <w:tc>
                <w:tcPr>
                  <w:tcW w:w="8284" w:type="dxa"/>
                </w:tcPr>
                <w:p w14:paraId="419AE480" w14:textId="77777777" w:rsidR="00223CCB" w:rsidRDefault="00000000">
                  <w:pPr>
                    <w:pStyle w:val="TableContents"/>
                  </w:pPr>
                  <w:r>
                    <w:t xml:space="preserve">6.  </w:t>
                  </w:r>
                  <w:r>
                    <w:rPr>
                      <w:b/>
                      <w:bCs/>
                      <w:i/>
                      <w:iCs/>
                    </w:rPr>
                    <w:t>Repozytorium medycyny rodzinnej 2025</w:t>
                  </w:r>
                  <w:r>
                    <w:t xml:space="preserve">, red. Windak A., Chlabicz S.,  Vesalius, 2025, Strony: -, Tom:- (literatura uzupełniająca) </w:t>
                  </w:r>
                </w:p>
              </w:tc>
            </w:tr>
          </w:tbl>
          <w:p w14:paraId="41701ECC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>
                    <w:rPr>
                      <w:sz w:val="16"/>
                      <w:szCs w:val="16"/>
                    </w:rPr>
                    <w:t xml:space="preserve">672/2020  (Kierunek lekarski), </w:t>
                  </w:r>
                </w:p>
                <w:p w14:paraId="46C82D4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>
                    <w:rPr>
                      <w:sz w:val="16"/>
                      <w:szCs w:val="16"/>
                      <w:lang w:val="en-US"/>
                    </w:rPr>
                    <w:t>Obligatoryjny</w:t>
                  </w:r>
                </w:p>
                <w:p w14:paraId="391946BB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>
                    <w:rPr>
                      <w:sz w:val="16"/>
                      <w:szCs w:val="16"/>
                      <w:lang w:val="en-US"/>
                    </w:rPr>
                    <w:t>B - przedmioty kierunkowe</w:t>
                  </w:r>
                </w:p>
                <w:p w14:paraId="19BB4D7A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>
                    <w:rPr>
                      <w:sz w:val="16"/>
                      <w:szCs w:val="16"/>
                      <w:lang w:val="en-US"/>
                    </w:rPr>
                    <w:t>: Nauki medyczne</w:t>
                  </w:r>
                </w:p>
                <w:p w14:paraId="4197F71E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Język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wykładowy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>: POL</w:t>
                  </w:r>
                </w:p>
                <w:p w14:paraId="1B48A034" w14:textId="2259E135" w:rsidR="00F65F4A" w:rsidRPr="00F65F4A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Z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aję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cia</w:t>
                  </w:r>
                  <w:proofErr w:type="spellEnd"/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="00F65F4A"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Wykład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20 h</w:t>
                  </w:r>
                  <w:r>
                    <w:rPr>
                      <w:sz w:val="16"/>
                      <w:szCs w:val="16"/>
                    </w:rPr>
                    <w:t>)</w:t>
                  </w:r>
                  <w:r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2D542482" w14:textId="77777777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Seminarium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30 h</w:t>
                  </w:r>
                  <w:r>
                    <w:rPr>
                      <w:sz w:val="16"/>
                      <w:szCs w:val="16"/>
                    </w:rPr>
                    <w:t>)</w:t>
                  </w:r>
                  <w:r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10094CE5" w14:textId="77777777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Ćwiczenia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10 h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7DF023C5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>
                    <w:rPr>
                      <w:sz w:val="16"/>
                      <w:szCs w:val="16"/>
                      <w:lang w:val="en-US"/>
                    </w:rPr>
                    <w:t>Kierunek lekarski - studia jednolite magisterskie stacjonarne</w:t>
                  </w:r>
                </w:p>
                <w:p w14:paraId="00992FA9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Etap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Kierunek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lekarski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piąty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rok semestr dziewiąty</w:t>
                  </w:r>
                </w:p>
                <w:p w14:paraId="0FC619E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>
                    <w:rPr>
                      <w:sz w:val="16"/>
                      <w:szCs w:val="16"/>
                      <w:lang w:val="en-US"/>
                    </w:rPr>
                    <w:t>Ogólnoakademicki</w:t>
                  </w:r>
                </w:p>
                <w:p w14:paraId="3DDB51AF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Tryb studiów:</w:t>
                  </w:r>
                  <w:r>
                    <w:rPr>
                      <w:sz w:val="16"/>
                      <w:szCs w:val="16"/>
                      <w:lang w:val="en-US"/>
                    </w:rPr>
                    <w:t>Stacjonarne</w:t>
                  </w:r>
                </w:p>
                <w:p w14:paraId="21D98B78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r>
                    <w:rPr>
                      <w:sz w:val="16"/>
                      <w:szCs w:val="16"/>
                      <w:lang w:val="en-US"/>
                    </w:rPr>
                    <w:t>Jednolite magisterskie</w:t>
                  </w:r>
                </w:p>
                <w:p w14:paraId="31C83125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7AEE5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Przedmioty</w:t>
                  </w:r>
                  <w:proofErr w:type="spellEnd"/>
                </w:p>
                <w:p w14:paraId="261634E2" w14:textId="226F15F1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wprowadzające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anatomia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fizjologia</w:t>
                  </w:r>
                  <w:proofErr w:type="spellEnd"/>
                </w:p>
                <w:p w14:paraId="3CF77B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D3E16BC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Wymagania</w:t>
                  </w:r>
                  <w:proofErr w:type="spellEnd"/>
                </w:p>
                <w:p w14:paraId="51FB27E0" w14:textId="0DE4D122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wstępne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podstawowe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wiadomości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obejmujące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budowę człowieka i fizjologię człowieka</w:t>
                  </w:r>
                </w:p>
                <w:p w14:paraId="2B35A6B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448F1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47E0F48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Koordynatorzy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  <w:p w14:paraId="008BE958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283859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Jerzy Romaszko, jerzy.romaszko@uwm.edu.pl</w:t>
                  </w:r>
                </w:p>
                <w:p w14:paraId="5AA91400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B34A4F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p w14:paraId="443687E6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7B085C2A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0AC4C0C1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EE2E0D6" w14:textId="77777777" w:rsidR="00223CCB" w:rsidRDefault="00223CCB">
      <w:pPr>
        <w:rPr>
          <w:sz w:val="28"/>
          <w:szCs w:val="28"/>
          <w:lang w:val="en-US"/>
        </w:rPr>
      </w:pPr>
    </w:p>
    <w:p w14:paraId="00D843F1" w14:textId="77777777" w:rsidR="00223CCB" w:rsidRDefault="00223CCB">
      <w:pPr>
        <w:rPr>
          <w:sz w:val="28"/>
          <w:szCs w:val="28"/>
          <w:lang w:val="en-US"/>
        </w:rPr>
        <w:sectPr w:rsidR="00223CCB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4CDA3453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Szczegółowy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opis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przyznanej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punktacji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ECTS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B</w:t>
            </w:r>
          </w:p>
        </w:tc>
      </w:tr>
      <w:tr w:rsidR="00223CCB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48SJ-MEDRO12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Medycyna rodzinna 1/2</w:t>
            </w:r>
          </w:p>
        </w:tc>
      </w:tr>
      <w:tr w:rsidR="00223CCB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2025Z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Family medicine 1/2</w:t>
            </w:r>
          </w:p>
        </w:tc>
      </w:tr>
      <w:tr w:rsidR="00223CCB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4.00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Default="00223CCB"/>
    <w:p w14:paraId="3ABF269B" w14:textId="77777777" w:rsidR="00223CCB" w:rsidRDefault="00000000">
      <w:r>
        <w:t>Na przyznaną liczbę punktów ECTS składają się:</w:t>
      </w:r>
    </w:p>
    <w:p w14:paraId="5238D004" w14:textId="77777777" w:rsidR="00223CCB" w:rsidRDefault="00000000">
      <w:r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223CCB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Default="00000000">
            <w:pPr>
              <w:spacing w:after="0" w:line="240" w:lineRule="auto"/>
            </w:pPr>
            <w:r>
              <w:t>- udział w: Wykład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Default="00000000">
            <w:pPr>
              <w:spacing w:after="0" w:line="240" w:lineRule="auto"/>
              <w:jc w:val="right"/>
            </w:pPr>
            <w:r>
              <w:t>20 h</w:t>
            </w:r>
          </w:p>
        </w:tc>
      </w:tr>
      <w:tr w:rsidR="00223CCB" w14:paraId="0D5EC4B2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379" w14:textId="77777777" w:rsidR="00223CCB" w:rsidRDefault="00000000">
            <w:pPr>
              <w:spacing w:after="0" w:line="240" w:lineRule="auto"/>
            </w:pPr>
            <w:r>
              <w:t>- udział w: Seminarium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1156" w14:textId="77777777" w:rsidR="00223CCB" w:rsidRDefault="00000000">
            <w:pPr>
              <w:spacing w:after="0" w:line="240" w:lineRule="auto"/>
              <w:jc w:val="right"/>
            </w:pPr>
            <w:r>
              <w:t>30 h</w:t>
            </w:r>
          </w:p>
        </w:tc>
      </w:tr>
      <w:tr w:rsidR="00223CCB" w14:paraId="3D76E0D5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9D7" w14:textId="77777777" w:rsidR="00223CCB" w:rsidRDefault="00000000">
            <w:pPr>
              <w:spacing w:after="0" w:line="240" w:lineRule="auto"/>
            </w:pPr>
            <w:r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70ED" w14:textId="77777777" w:rsidR="00223CCB" w:rsidRDefault="00000000">
            <w:pPr>
              <w:spacing w:after="0" w:line="240" w:lineRule="auto"/>
              <w:jc w:val="right"/>
            </w:pPr>
            <w:r>
              <w:t>10 h</w:t>
            </w:r>
          </w:p>
        </w:tc>
      </w:tr>
      <w:tr w:rsidR="00223CCB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Default="00000000">
            <w:pPr>
              <w:spacing w:after="0" w:line="240" w:lineRule="auto"/>
            </w:pPr>
            <w:r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Default="00000000">
            <w:pPr>
              <w:spacing w:after="0" w:line="240" w:lineRule="auto"/>
              <w:jc w:val="right"/>
            </w:pPr>
            <w:r>
              <w:t>2 h</w:t>
            </w:r>
          </w:p>
        </w:tc>
      </w:tr>
      <w:tr w:rsidR="00223CCB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Default="00000000">
            <w:pPr>
              <w:spacing w:after="0" w:line="240" w:lineRule="auto"/>
              <w:jc w:val="right"/>
            </w:pPr>
            <w:r>
              <w:t>Ogółem: 62 h</w:t>
            </w:r>
          </w:p>
        </w:tc>
      </w:tr>
    </w:tbl>
    <w:p w14:paraId="647D78E9" w14:textId="77777777" w:rsidR="00223CCB" w:rsidRDefault="00223CCB">
      <w:pPr>
        <w:jc w:val="right"/>
      </w:pPr>
    </w:p>
    <w:p w14:paraId="3C94762F" w14:textId="77777777" w:rsidR="00223CCB" w:rsidRDefault="00000000">
      <w:r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223CCB" w14:paraId="66AE4555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5AA4380" w14:textId="77777777" w:rsidR="00223CCB" w:rsidRDefault="00000000">
            <w:pPr>
              <w:spacing w:after="0" w:line="360" w:lineRule="auto"/>
            </w:pPr>
            <w:r>
              <w:t>przygotowanie do testu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FEC48B6" w14:textId="77777777" w:rsidR="00223CCB" w:rsidRDefault="00000000">
            <w:pPr>
              <w:spacing w:after="0" w:line="360" w:lineRule="auto"/>
              <w:jc w:val="right"/>
            </w:pPr>
            <w:r>
              <w:t>15.00 h</w:t>
            </w:r>
          </w:p>
        </w:tc>
      </w:tr>
      <w:tr w:rsidR="00223CCB" w14:paraId="07BF673A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49C0FB7" w14:textId="77777777" w:rsidR="00223CCB" w:rsidRDefault="00000000">
            <w:pPr>
              <w:spacing w:after="0" w:line="360" w:lineRule="auto"/>
            </w:pPr>
            <w:r>
              <w:t>przygotowanie do kolokwium praktycznego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213AC22" w14:textId="77777777" w:rsidR="00223CCB" w:rsidRDefault="00000000">
            <w:pPr>
              <w:spacing w:after="0" w:line="360" w:lineRule="auto"/>
              <w:jc w:val="right"/>
            </w:pPr>
            <w:r>
              <w:t>13.00 h</w:t>
            </w:r>
          </w:p>
        </w:tc>
      </w:tr>
      <w:tr w:rsidR="00223CCB" w14:paraId="76AA87B2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54E7CB80" w14:textId="77777777" w:rsidR="00223CCB" w:rsidRDefault="00000000">
            <w:pPr>
              <w:spacing w:after="0" w:line="360" w:lineRule="auto"/>
            </w:pPr>
            <w:r>
              <w:t>przygotowanie do ćwiczeń i seminariów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B76C683" w14:textId="77777777" w:rsidR="00223CCB" w:rsidRDefault="00000000">
            <w:pPr>
              <w:spacing w:after="0" w:line="360" w:lineRule="auto"/>
              <w:jc w:val="right"/>
            </w:pPr>
            <w:r>
              <w:t>10.00 h</w:t>
            </w:r>
          </w:p>
        </w:tc>
      </w:tr>
      <w:tr w:rsidR="00223CCB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Default="00000000">
            <w:pPr>
              <w:spacing w:after="0" w:line="240" w:lineRule="auto"/>
              <w:jc w:val="right"/>
            </w:pPr>
            <w:r>
              <w:t>Ogółem: 38.00 h</w:t>
            </w:r>
          </w:p>
        </w:tc>
      </w:tr>
    </w:tbl>
    <w:p w14:paraId="02CC0B33" w14:textId="77777777" w:rsidR="00223CCB" w:rsidRDefault="00223CCB"/>
    <w:p w14:paraId="68D65295" w14:textId="77777777" w:rsidR="00223CCB" w:rsidRDefault="00223CCB">
      <w:pPr>
        <w:rPr>
          <w:b/>
          <w:bCs/>
          <w:color w:val="C9211E"/>
        </w:rPr>
      </w:pPr>
    </w:p>
    <w:p w14:paraId="012AFAAC" w14:textId="77777777" w:rsidR="00223CCB" w:rsidRDefault="00000000">
      <w:pPr>
        <w:jc w:val="right"/>
      </w:pPr>
      <w:r>
        <w:t>Ogółem (godziny kontaktowe + samodzielna praca studenta): 100.00 h</w:t>
      </w:r>
    </w:p>
    <w:p w14:paraId="68DF491C" w14:textId="77777777" w:rsidR="00223CCB" w:rsidRDefault="00223CCB">
      <w:pPr>
        <w:jc w:val="right"/>
      </w:pPr>
    </w:p>
    <w:p w14:paraId="5904B2F4" w14:textId="77777777" w:rsidR="00223CCB" w:rsidRDefault="00223CCB">
      <w:pPr>
        <w:jc w:val="right"/>
      </w:pPr>
    </w:p>
    <w:p w14:paraId="245222A5" w14:textId="77777777" w:rsidR="00223CCB" w:rsidRDefault="00223CCB"/>
    <w:p w14:paraId="7E07CBE9" w14:textId="77777777" w:rsidR="00223CCB" w:rsidRDefault="00000000">
      <w:pPr>
        <w:pStyle w:val="Bezodstpw"/>
      </w:pPr>
      <w:r>
        <w:t xml:space="preserve">1 punkt ECTS = 25-30 h pracy przeciętnego studenta, </w:t>
      </w:r>
    </w:p>
    <w:p w14:paraId="0C269DC9" w14:textId="77777777" w:rsidR="00223CCB" w:rsidRDefault="00000000">
      <w:r>
        <w:t xml:space="preserve">liczba punktów ECTS = 100.00 h :  25 h/ECTS = </w:t>
      </w:r>
      <w:r>
        <w:rPr>
          <w:b/>
          <w:bCs/>
        </w:rPr>
        <w:t>4.00</w:t>
      </w:r>
      <w:r>
        <w:t xml:space="preserve"> ECTS </w:t>
      </w:r>
    </w:p>
    <w:p w14:paraId="407FF07A" w14:textId="77777777" w:rsidR="00223CCB" w:rsidRDefault="00000000">
      <w:pPr>
        <w:rPr>
          <w:b/>
          <w:bCs/>
        </w:rPr>
      </w:pPr>
      <w:r>
        <w:t>Średnio: 4.00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223CCB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Default="00000000">
            <w:pPr>
              <w:spacing w:after="0" w:line="240" w:lineRule="auto"/>
            </w:pPr>
            <w:r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 ECTS</w:t>
            </w:r>
          </w:p>
        </w:tc>
      </w:tr>
      <w:tr w:rsidR="00223CCB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Default="00000000">
            <w:pPr>
              <w:spacing w:after="0" w:line="240" w:lineRule="auto"/>
            </w:pPr>
            <w:r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 ECTS</w:t>
            </w:r>
          </w:p>
        </w:tc>
      </w:tr>
    </w:tbl>
    <w:p w14:paraId="3714EC2F" w14:textId="77777777" w:rsidR="00223CCB" w:rsidRDefault="00223CCB"/>
    <w:sectPr w:rsidR="00223CCB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1B54DA"/>
    <w:rsid w:val="001D6A87"/>
    <w:rsid w:val="00223CCB"/>
    <w:rsid w:val="00302397"/>
    <w:rsid w:val="00310B03"/>
    <w:rsid w:val="003C0A8E"/>
    <w:rsid w:val="004634D5"/>
    <w:rsid w:val="004A7046"/>
    <w:rsid w:val="006471F6"/>
    <w:rsid w:val="00735CD8"/>
    <w:rsid w:val="0098755A"/>
    <w:rsid w:val="009D56FA"/>
    <w:rsid w:val="00AF7994"/>
    <w:rsid w:val="00C30F1A"/>
    <w:rsid w:val="00ED1131"/>
    <w:rsid w:val="00F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8139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Agnieszka Makowska</cp:lastModifiedBy>
  <cp:revision>2</cp:revision>
  <dcterms:created xsi:type="dcterms:W3CDTF">2025-09-16T06:24:00Z</dcterms:created>
  <dcterms:modified xsi:type="dcterms:W3CDTF">2025-09-16T06:24:00Z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