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362177" w:rsidRPr="009E3068" w14:paraId="4C9340C0" w14:textId="77777777">
        <w:tc>
          <w:tcPr>
            <w:tcW w:w="2835" w:type="dxa"/>
            <w:tcBorders>
              <w:top w:val="nil"/>
              <w:left w:val="nil"/>
              <w:bottom w:val="nil"/>
              <w:right w:val="nil"/>
            </w:tcBorders>
          </w:tcPr>
          <w:p w14:paraId="7DDF7E4C" w14:textId="77777777" w:rsidR="00362177"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57FB905B" wp14:editId="68DDE52C">
                  <wp:simplePos x="0" y="0"/>
                  <wp:positionH relativeFrom="column">
                    <wp:posOffset>-65405</wp:posOffset>
                  </wp:positionH>
                  <wp:positionV relativeFrom="paragraph">
                    <wp:posOffset>5715</wp:posOffset>
                  </wp:positionV>
                  <wp:extent cx="989965" cy="810260"/>
                  <wp:effectExtent l="0" t="0" r="0" b="0"/>
                  <wp:wrapSquare wrapText="bothSides"/>
                  <wp:docPr id="100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01FD2F83" w14:textId="77777777" w:rsidR="0036217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6914587A" w14:textId="77777777" w:rsidR="00362177" w:rsidRPr="009E3068" w:rsidRDefault="00362177">
            <w:pPr>
              <w:spacing w:after="0" w:line="240" w:lineRule="auto"/>
              <w:jc w:val="center"/>
              <w:rPr>
                <w:b/>
                <w:bCs/>
                <w:sz w:val="28"/>
                <w:szCs w:val="28"/>
                <w:lang w:val="it-IT"/>
              </w:rPr>
            </w:pPr>
          </w:p>
        </w:tc>
      </w:tr>
      <w:tr w:rsidR="00362177" w14:paraId="1E3E1B43" w14:textId="77777777">
        <w:tc>
          <w:tcPr>
            <w:tcW w:w="2835" w:type="dxa"/>
            <w:tcBorders>
              <w:top w:val="nil"/>
              <w:left w:val="nil"/>
              <w:bottom w:val="nil"/>
              <w:right w:val="nil"/>
            </w:tcBorders>
          </w:tcPr>
          <w:p w14:paraId="4827DCF7" w14:textId="77777777" w:rsidR="00362177" w:rsidRPr="009E3068" w:rsidRDefault="00362177">
            <w:pPr>
              <w:spacing w:after="0" w:line="240" w:lineRule="auto"/>
              <w:rPr>
                <w:sz w:val="28"/>
                <w:szCs w:val="28"/>
                <w:lang w:val="it-IT"/>
              </w:rPr>
            </w:pPr>
          </w:p>
        </w:tc>
        <w:tc>
          <w:tcPr>
            <w:tcW w:w="8502" w:type="dxa"/>
            <w:tcBorders>
              <w:top w:val="nil"/>
              <w:left w:val="nil"/>
              <w:bottom w:val="nil"/>
              <w:right w:val="nil"/>
            </w:tcBorders>
          </w:tcPr>
          <w:p w14:paraId="3C54DA0E" w14:textId="77777777" w:rsidR="00362177" w:rsidRDefault="00000000">
            <w:pPr>
              <w:spacing w:after="0" w:line="240" w:lineRule="auto"/>
              <w:jc w:val="center"/>
              <w:rPr>
                <w:b/>
                <w:bCs/>
                <w:sz w:val="28"/>
                <w:szCs w:val="28"/>
                <w:lang w:val="en-US"/>
              </w:rPr>
            </w:pPr>
            <w:r>
              <w:rPr>
                <w:b/>
                <w:bCs/>
                <w:sz w:val="28"/>
                <w:szCs w:val="28"/>
                <w:lang w:val="en-US"/>
              </w:rPr>
              <w:t xml:space="preserve">  Course </w:t>
            </w:r>
            <w:proofErr w:type="spellStart"/>
            <w:r>
              <w:rPr>
                <w:b/>
                <w:bCs/>
                <w:sz w:val="28"/>
                <w:szCs w:val="28"/>
                <w:lang w:val="en-US"/>
              </w:rPr>
              <w:t>sylabus</w:t>
            </w:r>
            <w:proofErr w:type="spellEnd"/>
            <w:r>
              <w:rPr>
                <w:b/>
                <w:bCs/>
                <w:sz w:val="28"/>
                <w:szCs w:val="28"/>
                <w:lang w:val="en-US"/>
              </w:rPr>
              <w:t xml:space="preserve"> – part A</w:t>
            </w:r>
          </w:p>
        </w:tc>
      </w:tr>
      <w:tr w:rsidR="00362177" w14:paraId="5C1FB212" w14:textId="77777777">
        <w:tc>
          <w:tcPr>
            <w:tcW w:w="2835" w:type="dxa"/>
            <w:tcBorders>
              <w:top w:val="nil"/>
              <w:left w:val="nil"/>
              <w:bottom w:val="nil"/>
              <w:right w:val="nil"/>
            </w:tcBorders>
          </w:tcPr>
          <w:p w14:paraId="4FA89A74" w14:textId="77777777" w:rsidR="00362177" w:rsidRDefault="00000000">
            <w:pPr>
              <w:spacing w:after="0" w:line="240" w:lineRule="auto"/>
              <w:rPr>
                <w:b/>
                <w:bCs/>
                <w:sz w:val="28"/>
                <w:szCs w:val="28"/>
              </w:rPr>
            </w:pPr>
            <w:r>
              <w:rPr>
                <w:b/>
                <w:bCs/>
                <w:sz w:val="28"/>
                <w:szCs w:val="28"/>
              </w:rPr>
              <w:t>48SJ-INM68</w:t>
            </w:r>
          </w:p>
        </w:tc>
        <w:tc>
          <w:tcPr>
            <w:tcW w:w="8502" w:type="dxa"/>
            <w:tcBorders>
              <w:top w:val="nil"/>
              <w:left w:val="nil"/>
              <w:bottom w:val="nil"/>
              <w:right w:val="nil"/>
            </w:tcBorders>
          </w:tcPr>
          <w:p w14:paraId="123A2810" w14:textId="77777777" w:rsidR="00362177" w:rsidRDefault="00000000">
            <w:pPr>
              <w:spacing w:after="0" w:line="240" w:lineRule="auto"/>
              <w:jc w:val="center"/>
              <w:rPr>
                <w:b/>
                <w:bCs/>
                <w:sz w:val="28"/>
                <w:szCs w:val="28"/>
              </w:rPr>
            </w:pPr>
            <w:r>
              <w:rPr>
                <w:b/>
                <w:bCs/>
                <w:sz w:val="28"/>
                <w:szCs w:val="28"/>
              </w:rPr>
              <w:t>INTERNAL MEDICINE  6/8</w:t>
            </w:r>
          </w:p>
        </w:tc>
      </w:tr>
      <w:tr w:rsidR="00362177" w14:paraId="23915F78" w14:textId="77777777">
        <w:tc>
          <w:tcPr>
            <w:tcW w:w="2835" w:type="dxa"/>
            <w:tcBorders>
              <w:top w:val="nil"/>
              <w:left w:val="nil"/>
              <w:bottom w:val="nil"/>
              <w:right w:val="nil"/>
            </w:tcBorders>
          </w:tcPr>
          <w:p w14:paraId="46FF4896" w14:textId="5FA353BA" w:rsidR="00362177" w:rsidRDefault="00000000">
            <w:pPr>
              <w:spacing w:after="0" w:line="240" w:lineRule="auto"/>
              <w:rPr>
                <w:b/>
                <w:bCs/>
                <w:sz w:val="28"/>
                <w:szCs w:val="28"/>
              </w:rPr>
            </w:pPr>
            <w:r>
              <w:rPr>
                <w:b/>
                <w:bCs/>
                <w:sz w:val="28"/>
                <w:szCs w:val="28"/>
              </w:rPr>
              <w:t>202</w:t>
            </w:r>
            <w:r w:rsidR="009E3068">
              <w:rPr>
                <w:b/>
                <w:bCs/>
                <w:sz w:val="28"/>
                <w:szCs w:val="28"/>
              </w:rPr>
              <w:t>4</w:t>
            </w:r>
            <w:r w:rsidR="002707AE">
              <w:rPr>
                <w:b/>
                <w:bCs/>
                <w:sz w:val="28"/>
                <w:szCs w:val="28"/>
              </w:rPr>
              <w:t xml:space="preserve"> L</w:t>
            </w:r>
          </w:p>
        </w:tc>
        <w:tc>
          <w:tcPr>
            <w:tcW w:w="8502" w:type="dxa"/>
            <w:tcBorders>
              <w:top w:val="nil"/>
              <w:left w:val="nil"/>
              <w:bottom w:val="nil"/>
              <w:right w:val="nil"/>
            </w:tcBorders>
          </w:tcPr>
          <w:p w14:paraId="4A90797C" w14:textId="77777777" w:rsidR="00362177" w:rsidRDefault="00362177">
            <w:pPr>
              <w:spacing w:after="0" w:line="240" w:lineRule="auto"/>
              <w:jc w:val="center"/>
              <w:rPr>
                <w:b/>
                <w:bCs/>
                <w:sz w:val="28"/>
                <w:szCs w:val="28"/>
              </w:rPr>
            </w:pPr>
          </w:p>
        </w:tc>
      </w:tr>
      <w:tr w:rsidR="00362177" w14:paraId="53900B12" w14:textId="77777777">
        <w:tc>
          <w:tcPr>
            <w:tcW w:w="2835" w:type="dxa"/>
            <w:tcBorders>
              <w:top w:val="nil"/>
              <w:left w:val="nil"/>
              <w:bottom w:val="nil"/>
              <w:right w:val="nil"/>
            </w:tcBorders>
          </w:tcPr>
          <w:p w14:paraId="1B0834C5" w14:textId="77777777" w:rsidR="00362177" w:rsidRDefault="00000000">
            <w:pPr>
              <w:spacing w:after="0" w:line="240" w:lineRule="auto"/>
              <w:rPr>
                <w:b/>
                <w:bCs/>
                <w:sz w:val="28"/>
                <w:szCs w:val="28"/>
              </w:rPr>
            </w:pPr>
            <w:r>
              <w:rPr>
                <w:b/>
                <w:bCs/>
                <w:sz w:val="28"/>
                <w:szCs w:val="28"/>
              </w:rPr>
              <w:t>ECTS: 1.00</w:t>
            </w:r>
          </w:p>
        </w:tc>
        <w:tc>
          <w:tcPr>
            <w:tcW w:w="8502" w:type="dxa"/>
            <w:tcBorders>
              <w:top w:val="nil"/>
              <w:left w:val="nil"/>
              <w:bottom w:val="nil"/>
              <w:right w:val="nil"/>
            </w:tcBorders>
          </w:tcPr>
          <w:p w14:paraId="24DD298F" w14:textId="77777777" w:rsidR="00362177" w:rsidRDefault="00362177">
            <w:pPr>
              <w:spacing w:after="0" w:line="240" w:lineRule="auto"/>
              <w:rPr>
                <w:b/>
                <w:bCs/>
                <w:sz w:val="28"/>
                <w:szCs w:val="28"/>
              </w:rPr>
            </w:pPr>
          </w:p>
        </w:tc>
      </w:tr>
    </w:tbl>
    <w:p w14:paraId="58058D40" w14:textId="77777777" w:rsidR="00362177" w:rsidRDefault="00362177">
      <w:pPr>
        <w:rPr>
          <w:sz w:val="28"/>
          <w:szCs w:val="28"/>
        </w:rPr>
      </w:pPr>
    </w:p>
    <w:tbl>
      <w:tblPr>
        <w:tblStyle w:val="Tabela-Siatka"/>
        <w:tblW w:w="11328" w:type="dxa"/>
        <w:tblLook w:val="04A0" w:firstRow="1" w:lastRow="0" w:firstColumn="1" w:lastColumn="0" w:noHBand="0" w:noVBand="1"/>
      </w:tblPr>
      <w:tblGrid>
        <w:gridCol w:w="8504"/>
        <w:gridCol w:w="2824"/>
      </w:tblGrid>
      <w:tr w:rsidR="00362177" w14:paraId="71B74AE8" w14:textId="77777777">
        <w:tc>
          <w:tcPr>
            <w:tcW w:w="8375" w:type="dxa"/>
            <w:tcBorders>
              <w:top w:val="nil"/>
              <w:left w:val="nil"/>
              <w:bottom w:val="nil"/>
              <w:right w:val="nil"/>
            </w:tcBorders>
          </w:tcPr>
          <w:p w14:paraId="6808B6AD" w14:textId="77777777" w:rsidR="00362177" w:rsidRDefault="00000000">
            <w:pPr>
              <w:spacing w:after="0" w:line="240" w:lineRule="auto"/>
              <w:jc w:val="both"/>
              <w:rPr>
                <w:b/>
                <w:bCs/>
                <w:sz w:val="24"/>
                <w:szCs w:val="24"/>
                <w:lang w:val="en-US"/>
              </w:rPr>
            </w:pPr>
            <w:r>
              <w:rPr>
                <w:b/>
                <w:bCs/>
                <w:sz w:val="24"/>
                <w:szCs w:val="24"/>
                <w:lang w:val="en-US"/>
              </w:rPr>
              <w:t>SUBJECT MATTER CONTENT:</w:t>
            </w:r>
          </w:p>
          <w:p w14:paraId="22939191" w14:textId="11D8D136" w:rsidR="00362177" w:rsidRPr="00F40D89" w:rsidRDefault="00F40D89">
            <w:pPr>
              <w:spacing w:after="0" w:line="240" w:lineRule="auto"/>
              <w:rPr>
                <w:lang w:val="en-US"/>
              </w:rPr>
            </w:pPr>
            <w:r w:rsidRPr="00F40D89">
              <w:rPr>
                <w:lang w:val="en-US"/>
              </w:rPr>
              <w:t>LECTURE</w:t>
            </w:r>
          </w:p>
          <w:p w14:paraId="29093F37" w14:textId="52E6448E" w:rsidR="002707AE" w:rsidRPr="00F40D89" w:rsidRDefault="002707AE">
            <w:pPr>
              <w:spacing w:after="0" w:line="240" w:lineRule="auto"/>
              <w:rPr>
                <w:lang w:val="en-US"/>
              </w:rPr>
            </w:pPr>
            <w:r w:rsidRPr="00F40D89">
              <w:rPr>
                <w:lang w:val="en-US"/>
              </w:rPr>
              <w:t>Endocrinology</w:t>
            </w:r>
          </w:p>
          <w:p w14:paraId="1244281E" w14:textId="7B70A309" w:rsidR="00362177" w:rsidRPr="00F40D89" w:rsidRDefault="002707AE">
            <w:pPr>
              <w:spacing w:after="0" w:line="240" w:lineRule="auto"/>
              <w:rPr>
                <w:lang w:val="en-US"/>
              </w:rPr>
            </w:pPr>
            <w:r w:rsidRPr="00F40D89">
              <w:rPr>
                <w:lang w:val="en-US"/>
              </w:rPr>
              <w:t>Thyroid and parathyroid gland diseases.</w:t>
            </w:r>
            <w:r w:rsidRPr="00F40D89">
              <w:rPr>
                <w:lang w:val="en-US"/>
              </w:rPr>
              <w:t xml:space="preserve"> </w:t>
            </w:r>
            <w:r w:rsidR="00000000" w:rsidRPr="00F40D89">
              <w:rPr>
                <w:lang w:val="en-US"/>
              </w:rPr>
              <w:t xml:space="preserve">Diagnosis and treatment of hematogenic malignancies. Diagnosis of anemia. Bleeding disorders. </w:t>
            </w:r>
            <w:r w:rsidR="00000000" w:rsidRPr="00F40D89">
              <w:rPr>
                <w:lang w:val="en-US"/>
              </w:rPr>
              <w:br/>
              <w:t>Pulmonology</w:t>
            </w:r>
            <w:r w:rsidRPr="00F40D89">
              <w:rPr>
                <w:lang w:val="en-US"/>
              </w:rPr>
              <w:t>:</w:t>
            </w:r>
            <w:r w:rsidR="00000000" w:rsidRPr="00F40D89">
              <w:rPr>
                <w:lang w:val="en-US"/>
              </w:rPr>
              <w:br/>
              <w:t>Sleep respiratory disorders. Lung cancer</w:t>
            </w:r>
            <w:r w:rsidR="00F40D89" w:rsidRPr="00F40D89">
              <w:rPr>
                <w:lang w:val="en-US"/>
              </w:rPr>
              <w:t>.</w:t>
            </w:r>
            <w:r w:rsidR="00000000" w:rsidRPr="00F40D89">
              <w:rPr>
                <w:lang w:val="en-US"/>
              </w:rPr>
              <w:t xml:space="preserve"> Signs and symptoms of respiratory system diseases. Asthma and Chronic Obstructive Pulmonary Disease. Pulmonary hypertension. </w:t>
            </w:r>
            <w:r w:rsidR="00000000" w:rsidRPr="00F40D89">
              <w:rPr>
                <w:lang w:val="en-US"/>
              </w:rPr>
              <w:br/>
              <w:t>Rheumatology</w:t>
            </w:r>
            <w:r w:rsidR="00F40D89" w:rsidRPr="00F40D89">
              <w:rPr>
                <w:lang w:val="en-US"/>
              </w:rPr>
              <w:t>:</w:t>
            </w:r>
            <w:r w:rsidR="00000000" w:rsidRPr="00F40D89">
              <w:rPr>
                <w:lang w:val="en-US"/>
              </w:rPr>
              <w:t xml:space="preserve"> </w:t>
            </w:r>
            <w:r w:rsidR="00000000" w:rsidRPr="00F40D89">
              <w:rPr>
                <w:lang w:val="en-US"/>
              </w:rPr>
              <w:br/>
              <w:t xml:space="preserve">Signs symptoms and general characteristics of rheumatoid diseases. Rheumatoid arthritis. </w:t>
            </w:r>
            <w:r w:rsidR="00000000" w:rsidRPr="00F40D89">
              <w:rPr>
                <w:lang w:val="en-US"/>
              </w:rPr>
              <w:br/>
              <w:t>Cardiology</w:t>
            </w:r>
            <w:r w:rsidR="00F40D89" w:rsidRPr="00F40D89">
              <w:rPr>
                <w:lang w:val="en-US"/>
              </w:rPr>
              <w:t>:</w:t>
            </w:r>
            <w:r w:rsidR="00000000" w:rsidRPr="00F40D89">
              <w:rPr>
                <w:lang w:val="en-US"/>
              </w:rPr>
              <w:t xml:space="preserve"> </w:t>
            </w:r>
            <w:r w:rsidR="00000000" w:rsidRPr="00F40D89">
              <w:rPr>
                <w:lang w:val="en-US"/>
              </w:rPr>
              <w:br/>
              <w:t>Myocardial infarction. Coronary artery disease.  Myocarditis</w:t>
            </w:r>
            <w:r w:rsidR="00F40D89" w:rsidRPr="00F40D89">
              <w:rPr>
                <w:lang w:val="en-US"/>
              </w:rPr>
              <w:t xml:space="preserve">. </w:t>
            </w:r>
            <w:r w:rsidR="00000000" w:rsidRPr="00F40D89">
              <w:rPr>
                <w:lang w:val="en-US"/>
              </w:rPr>
              <w:t>Pericarditis</w:t>
            </w:r>
            <w:r w:rsidR="00F40D89" w:rsidRPr="00F40D89">
              <w:rPr>
                <w:lang w:val="en-US"/>
              </w:rPr>
              <w:t>.</w:t>
            </w:r>
            <w:r w:rsidR="00000000" w:rsidRPr="00F40D89">
              <w:rPr>
                <w:lang w:val="en-US"/>
              </w:rPr>
              <w:t xml:space="preserve"> Infectious endocarditis</w:t>
            </w:r>
            <w:r w:rsidR="00F40D89" w:rsidRPr="00F40D89">
              <w:rPr>
                <w:lang w:val="en-US"/>
              </w:rPr>
              <w:t xml:space="preserve">. </w:t>
            </w:r>
            <w:r w:rsidR="00000000" w:rsidRPr="00F40D89">
              <w:rPr>
                <w:lang w:val="en-US"/>
              </w:rPr>
              <w:t>Heart rhythm disorders</w:t>
            </w:r>
            <w:r w:rsidR="00F40D89" w:rsidRPr="00F40D89">
              <w:rPr>
                <w:lang w:val="en-US"/>
              </w:rPr>
              <w:t xml:space="preserve">. </w:t>
            </w:r>
            <w:r w:rsidR="00000000" w:rsidRPr="00F40D89">
              <w:rPr>
                <w:lang w:val="en-US"/>
              </w:rPr>
              <w:t>Infectious endocarditis</w:t>
            </w:r>
            <w:r w:rsidR="00F40D89" w:rsidRPr="00F40D89">
              <w:rPr>
                <w:lang w:val="en-US"/>
              </w:rPr>
              <w:t xml:space="preserve">. </w:t>
            </w:r>
            <w:r w:rsidR="00000000" w:rsidRPr="00F40D89">
              <w:rPr>
                <w:lang w:val="en-US"/>
              </w:rPr>
              <w:t>Heart rhythm disorders</w:t>
            </w:r>
            <w:r w:rsidR="00F40D89" w:rsidRPr="00F40D89">
              <w:rPr>
                <w:lang w:val="en-US"/>
              </w:rPr>
              <w:t>.</w:t>
            </w:r>
            <w:r w:rsidR="00000000" w:rsidRPr="00F40D89">
              <w:rPr>
                <w:lang w:val="en-US"/>
              </w:rPr>
              <w:t xml:space="preserve"> Acquired and inherited valvular heart diseases in adults. Chronic heart failure.</w:t>
            </w:r>
          </w:p>
          <w:p w14:paraId="269A987F" w14:textId="0E404BC3" w:rsidR="002707AE" w:rsidRPr="00F40D89" w:rsidRDefault="00F40D89">
            <w:pPr>
              <w:spacing w:after="0" w:line="240" w:lineRule="auto"/>
              <w:rPr>
                <w:lang w:val="en-US"/>
              </w:rPr>
            </w:pPr>
            <w:r w:rsidRPr="00F40D89">
              <w:rPr>
                <w:lang w:val="en-US"/>
              </w:rPr>
              <w:t>SEMINAR</w:t>
            </w:r>
          </w:p>
          <w:p w14:paraId="56010EB0" w14:textId="2B2B88D5" w:rsidR="002707AE" w:rsidRPr="00F40D89" w:rsidRDefault="002707AE">
            <w:pPr>
              <w:spacing w:after="0" w:line="240" w:lineRule="auto"/>
              <w:rPr>
                <w:lang w:val="en-US"/>
              </w:rPr>
            </w:pPr>
            <w:r w:rsidRPr="00F40D89">
              <w:rPr>
                <w:lang w:val="en-US"/>
              </w:rPr>
              <w:t>Endocrinology</w:t>
            </w:r>
            <w:r w:rsidR="00F40D89" w:rsidRPr="00F40D89">
              <w:rPr>
                <w:lang w:val="en-US"/>
              </w:rPr>
              <w:t>:</w:t>
            </w:r>
          </w:p>
          <w:p w14:paraId="2549CBFC" w14:textId="147F0B2D" w:rsidR="002707AE" w:rsidRPr="00F40D89" w:rsidRDefault="002707AE" w:rsidP="002707AE">
            <w:pPr>
              <w:spacing w:after="0" w:line="240" w:lineRule="auto"/>
              <w:rPr>
                <w:lang w:val="en-US"/>
              </w:rPr>
            </w:pPr>
            <w:r w:rsidRPr="00F40D89">
              <w:rPr>
                <w:lang w:val="en-US"/>
              </w:rPr>
              <w:t>Pituitary gland diseases and adrenal gland diseases.</w:t>
            </w:r>
          </w:p>
          <w:p w14:paraId="1B2350C6" w14:textId="01752738" w:rsidR="002707AE" w:rsidRPr="00F40D89" w:rsidRDefault="002707AE" w:rsidP="002707AE">
            <w:pPr>
              <w:spacing w:after="0" w:line="240" w:lineRule="auto"/>
              <w:rPr>
                <w:lang w:val="en-US"/>
              </w:rPr>
            </w:pPr>
            <w:r w:rsidRPr="00F40D89">
              <w:rPr>
                <w:lang w:val="en-US"/>
              </w:rPr>
              <w:t>Osteoporosis and neuroendocrine tumors.</w:t>
            </w:r>
          </w:p>
          <w:p w14:paraId="1300FA7A" w14:textId="4D73D611" w:rsidR="002707AE" w:rsidRPr="00F40D89" w:rsidRDefault="002707AE" w:rsidP="002707AE">
            <w:pPr>
              <w:spacing w:after="0" w:line="240" w:lineRule="auto"/>
              <w:rPr>
                <w:lang w:val="en-US"/>
              </w:rPr>
            </w:pPr>
            <w:r w:rsidRPr="00F40D89">
              <w:rPr>
                <w:lang w:val="en-US"/>
              </w:rPr>
              <w:t>Cardiology</w:t>
            </w:r>
            <w:r w:rsidR="00F40D89" w:rsidRPr="00F40D89">
              <w:rPr>
                <w:lang w:val="en-US"/>
              </w:rPr>
              <w:t>:</w:t>
            </w:r>
          </w:p>
          <w:p w14:paraId="4A4B9108" w14:textId="710BF1D1" w:rsidR="002707AE" w:rsidRPr="00F40D89" w:rsidRDefault="002707AE" w:rsidP="002707AE">
            <w:pPr>
              <w:spacing w:after="0" w:line="240" w:lineRule="auto"/>
              <w:rPr>
                <w:lang w:val="en-US"/>
              </w:rPr>
            </w:pPr>
            <w:r w:rsidRPr="00F40D89">
              <w:rPr>
                <w:lang w:val="en-US"/>
              </w:rPr>
              <w:t>Pathophysiology of coronary artery atherosclerosis. Epidemiology of coronary heart disease. Risk factors – primary and secondary prevention. Clinical aspects of coronary heart disease. Diagnosis and treatment. Pathophysiology of myocardial infarction (STEMI and NSTEMI). Diagnostic and therapeutic algorithms in life threatening conditions in cardiology.</w:t>
            </w:r>
            <w:r w:rsidR="00F40D89" w:rsidRPr="00F40D89">
              <w:rPr>
                <w:lang w:val="en-US"/>
              </w:rPr>
              <w:t xml:space="preserve"> </w:t>
            </w:r>
            <w:r w:rsidRPr="00F40D89">
              <w:rPr>
                <w:lang w:val="en-US"/>
              </w:rPr>
              <w:t>Acquired valvular heart diseases: clinical presentation. Inherited valvular heart diseases in adults: clinical presentation.</w:t>
            </w:r>
            <w:r w:rsidR="00F40D89" w:rsidRPr="00F40D89">
              <w:rPr>
                <w:lang w:val="en-US"/>
              </w:rPr>
              <w:t xml:space="preserve"> </w:t>
            </w:r>
            <w:r w:rsidRPr="00F40D89">
              <w:rPr>
                <w:lang w:val="en-US"/>
              </w:rPr>
              <w:t xml:space="preserve">Clinical diagnosis of chronic heart </w:t>
            </w:r>
            <w:proofErr w:type="spellStart"/>
            <w:r w:rsidRPr="00F40D89">
              <w:rPr>
                <w:lang w:val="en-US"/>
              </w:rPr>
              <w:t>failure.Infectious</w:t>
            </w:r>
            <w:proofErr w:type="spellEnd"/>
            <w:r w:rsidRPr="00F40D89">
              <w:rPr>
                <w:lang w:val="en-US"/>
              </w:rPr>
              <w:t xml:space="preserve"> diseases of the heart. Heart pacing – indications and techniques. Syncope – differential diagnosis and algorithms</w:t>
            </w:r>
          </w:p>
          <w:p w14:paraId="53D80146" w14:textId="6F4BD640" w:rsidR="002707AE" w:rsidRPr="00F40D89" w:rsidRDefault="002707AE" w:rsidP="002707AE">
            <w:pPr>
              <w:spacing w:after="0" w:line="240" w:lineRule="auto"/>
              <w:rPr>
                <w:lang w:val="en-US"/>
              </w:rPr>
            </w:pPr>
            <w:r w:rsidRPr="00F40D89">
              <w:rPr>
                <w:lang w:val="en-US"/>
              </w:rPr>
              <w:t>Pulmonology</w:t>
            </w:r>
            <w:r w:rsidR="00F40D89" w:rsidRPr="00F40D89">
              <w:rPr>
                <w:lang w:val="en-US"/>
              </w:rPr>
              <w:t>:</w:t>
            </w:r>
          </w:p>
          <w:p w14:paraId="1CA8593B" w14:textId="691FDC50" w:rsidR="002707AE" w:rsidRPr="00F40D89" w:rsidRDefault="002707AE" w:rsidP="002707AE">
            <w:pPr>
              <w:spacing w:after="0" w:line="240" w:lineRule="auto"/>
              <w:rPr>
                <w:lang w:val="en-US"/>
              </w:rPr>
            </w:pPr>
            <w:r w:rsidRPr="00F40D89">
              <w:rPr>
                <w:lang w:val="en-US"/>
              </w:rPr>
              <w:t>Pneumonia</w:t>
            </w:r>
            <w:r w:rsidR="00F40D89" w:rsidRPr="00F40D89">
              <w:rPr>
                <w:lang w:val="en-US"/>
              </w:rPr>
              <w:t xml:space="preserve">. </w:t>
            </w:r>
            <w:r w:rsidRPr="00F40D89">
              <w:rPr>
                <w:lang w:val="en-US"/>
              </w:rPr>
              <w:t>Covid-19, symptoms, treatment, complications.</w:t>
            </w:r>
            <w:r w:rsidR="00F40D89" w:rsidRPr="00F40D89">
              <w:rPr>
                <w:lang w:val="en-US"/>
              </w:rPr>
              <w:t xml:space="preserve"> </w:t>
            </w:r>
            <w:r w:rsidRPr="00F40D89">
              <w:rPr>
                <w:lang w:val="en-US"/>
              </w:rPr>
              <w:t>Interstitial diseases of the lungs.</w:t>
            </w:r>
            <w:r w:rsidR="00F40D89" w:rsidRPr="00F40D89">
              <w:rPr>
                <w:lang w:val="en-US"/>
              </w:rPr>
              <w:t xml:space="preserve"> </w:t>
            </w:r>
            <w:r w:rsidRPr="00F40D89">
              <w:rPr>
                <w:lang w:val="en-US"/>
              </w:rPr>
              <w:t>Tuberculosis and other mycobacterial diseases.</w:t>
            </w:r>
            <w:r w:rsidR="00F40D89" w:rsidRPr="00F40D89">
              <w:rPr>
                <w:lang w:val="en-US"/>
              </w:rPr>
              <w:t xml:space="preserve"> </w:t>
            </w:r>
            <w:r w:rsidRPr="00F40D89">
              <w:rPr>
                <w:lang w:val="en-US"/>
              </w:rPr>
              <w:t>Acute and chronic respiratory failure.</w:t>
            </w:r>
            <w:r w:rsidR="00F40D89" w:rsidRPr="00F40D89">
              <w:rPr>
                <w:lang w:val="en-US"/>
              </w:rPr>
              <w:t xml:space="preserve"> </w:t>
            </w:r>
            <w:r w:rsidRPr="00F40D89">
              <w:rPr>
                <w:lang w:val="en-US"/>
              </w:rPr>
              <w:t>Rare diseases of respiratory system.</w:t>
            </w:r>
          </w:p>
          <w:p w14:paraId="5866FC87" w14:textId="0653CAB3" w:rsidR="002707AE" w:rsidRPr="00F40D89" w:rsidRDefault="002707AE" w:rsidP="002707AE">
            <w:pPr>
              <w:spacing w:after="0" w:line="240" w:lineRule="auto"/>
              <w:rPr>
                <w:lang w:val="en-US"/>
              </w:rPr>
            </w:pPr>
            <w:r w:rsidRPr="00F40D89">
              <w:rPr>
                <w:lang w:val="en-US"/>
              </w:rPr>
              <w:t>Gastroenterology:</w:t>
            </w:r>
          </w:p>
          <w:p w14:paraId="22F909D2" w14:textId="2A61D0A2" w:rsidR="002707AE" w:rsidRPr="00F40D89" w:rsidRDefault="002707AE" w:rsidP="002707AE">
            <w:pPr>
              <w:spacing w:after="0" w:line="240" w:lineRule="auto"/>
              <w:rPr>
                <w:lang w:val="en-US"/>
              </w:rPr>
            </w:pPr>
            <w:r w:rsidRPr="00F40D89">
              <w:rPr>
                <w:lang w:val="en-US"/>
              </w:rPr>
              <w:t>Gastro-oesophageal reflux disease, gastritis, gastric and duodenal ulcer disease</w:t>
            </w:r>
            <w:r w:rsidR="00F40D89" w:rsidRPr="00F40D89">
              <w:rPr>
                <w:lang w:val="en-US"/>
              </w:rPr>
              <w:t xml:space="preserve">. </w:t>
            </w:r>
            <w:r w:rsidRPr="00F40D89">
              <w:rPr>
                <w:lang w:val="en-US"/>
              </w:rPr>
              <w:t>Celiac disease. Bacterial overgrowth syndrome.</w:t>
            </w:r>
            <w:r w:rsidR="00F40D89">
              <w:rPr>
                <w:lang w:val="en-US"/>
              </w:rPr>
              <w:t xml:space="preserve"> </w:t>
            </w:r>
            <w:r w:rsidRPr="00F40D89">
              <w:rPr>
                <w:lang w:val="en-US"/>
              </w:rPr>
              <w:t>Irritable bowel syndrome. Diverticular disease of the large intestine. Intestinal ischemia</w:t>
            </w:r>
            <w:r w:rsidR="00F40D89" w:rsidRPr="00F40D89">
              <w:rPr>
                <w:lang w:val="en-US"/>
              </w:rPr>
              <w:t xml:space="preserve">. </w:t>
            </w:r>
            <w:r w:rsidRPr="00F40D89">
              <w:rPr>
                <w:lang w:val="en-US"/>
              </w:rPr>
              <w:t>Bleeding from the upper and lower gastrointestinal tract</w:t>
            </w:r>
            <w:r w:rsidR="00F40D89" w:rsidRPr="00F40D89">
              <w:rPr>
                <w:lang w:val="en-US"/>
              </w:rPr>
              <w:t>.</w:t>
            </w:r>
          </w:p>
          <w:p w14:paraId="1414DABA" w14:textId="57779E4B" w:rsidR="002707AE" w:rsidRPr="00F40D89" w:rsidRDefault="002707AE" w:rsidP="002707AE">
            <w:pPr>
              <w:spacing w:after="0" w:line="240" w:lineRule="auto"/>
              <w:rPr>
                <w:lang w:val="en-US"/>
              </w:rPr>
            </w:pPr>
            <w:r w:rsidRPr="00F40D89">
              <w:rPr>
                <w:lang w:val="en-US"/>
              </w:rPr>
              <w:t>Hematology</w:t>
            </w:r>
            <w:r w:rsidR="00F40D89" w:rsidRPr="00F40D89">
              <w:rPr>
                <w:lang w:val="en-US"/>
              </w:rPr>
              <w:t>:</w:t>
            </w:r>
          </w:p>
          <w:p w14:paraId="540168A4" w14:textId="3818CC49" w:rsidR="002707AE" w:rsidRPr="00F40D89" w:rsidRDefault="002707AE" w:rsidP="002707AE">
            <w:pPr>
              <w:spacing w:after="0" w:line="240" w:lineRule="auto"/>
              <w:rPr>
                <w:lang w:val="en-US"/>
              </w:rPr>
            </w:pPr>
            <w:r w:rsidRPr="00F40D89">
              <w:rPr>
                <w:lang w:val="en-US"/>
              </w:rPr>
              <w:t>Diagnosis and treatment of thrombocytopenia. Lymphomas.</w:t>
            </w:r>
            <w:r w:rsidR="00F40D89">
              <w:rPr>
                <w:lang w:val="en-US"/>
              </w:rPr>
              <w:t xml:space="preserve"> </w:t>
            </w:r>
            <w:r w:rsidRPr="00F40D89">
              <w:rPr>
                <w:lang w:val="en-US"/>
              </w:rPr>
              <w:t xml:space="preserve">Myelodysplastic syndromes. </w:t>
            </w:r>
          </w:p>
          <w:p w14:paraId="551843BA" w14:textId="77777777" w:rsidR="002707AE" w:rsidRPr="00F40D89" w:rsidRDefault="002707AE" w:rsidP="002707AE">
            <w:pPr>
              <w:spacing w:after="0" w:line="240" w:lineRule="auto"/>
              <w:rPr>
                <w:lang w:val="en-US"/>
              </w:rPr>
            </w:pPr>
          </w:p>
          <w:p w14:paraId="1EEB22D8" w14:textId="5311968C" w:rsidR="002707AE" w:rsidRPr="00F40D89" w:rsidRDefault="002707AE" w:rsidP="002707AE">
            <w:pPr>
              <w:spacing w:after="0" w:line="240" w:lineRule="auto"/>
              <w:rPr>
                <w:lang w:val="en-US"/>
              </w:rPr>
            </w:pPr>
            <w:r w:rsidRPr="00F40D89">
              <w:rPr>
                <w:lang w:val="en-US"/>
              </w:rPr>
              <w:t>Rheumatology</w:t>
            </w:r>
            <w:r w:rsidR="00F40D89" w:rsidRPr="00F40D89">
              <w:rPr>
                <w:lang w:val="en-US"/>
              </w:rPr>
              <w:t>:</w:t>
            </w:r>
          </w:p>
          <w:p w14:paraId="65ACBBAE" w14:textId="372DFF3A" w:rsidR="002707AE" w:rsidRPr="00F40D89" w:rsidRDefault="002707AE">
            <w:pPr>
              <w:spacing w:after="0" w:line="240" w:lineRule="auto"/>
              <w:rPr>
                <w:lang w:val="en-US"/>
              </w:rPr>
            </w:pPr>
            <w:r w:rsidRPr="00F40D89">
              <w:rPr>
                <w:lang w:val="en-US"/>
              </w:rPr>
              <w:t>Systemic connective tissue disorders: SLE, scleroderma, dermatomyositis,  polymyalgia rheumatica.</w:t>
            </w:r>
            <w:r w:rsidR="00F40D89" w:rsidRPr="00F40D89">
              <w:rPr>
                <w:lang w:val="en-US"/>
              </w:rPr>
              <w:t xml:space="preserve"> </w:t>
            </w:r>
            <w:r w:rsidRPr="00F40D89">
              <w:rPr>
                <w:lang w:val="en-US"/>
              </w:rPr>
              <w:t>Spondyloarthropathies.</w:t>
            </w:r>
            <w:r w:rsidR="00F40D89" w:rsidRPr="00F40D89">
              <w:rPr>
                <w:lang w:val="en-US"/>
              </w:rPr>
              <w:t xml:space="preserve"> </w:t>
            </w:r>
            <w:r w:rsidRPr="00F40D89">
              <w:rPr>
                <w:lang w:val="en-US"/>
              </w:rPr>
              <w:t>Osteoarthritis, gout and other pathologies secondary to crystal deposition within joints and tissues.</w:t>
            </w:r>
            <w:r w:rsidR="00F40D89" w:rsidRPr="00F40D89">
              <w:rPr>
                <w:lang w:val="en-US"/>
              </w:rPr>
              <w:t xml:space="preserve"> </w:t>
            </w:r>
            <w:r w:rsidRPr="00F40D89">
              <w:rPr>
                <w:lang w:val="en-US"/>
              </w:rPr>
              <w:t>Acute and life-threatening situations in rheumatoid disease. Paraneoplastic syndromes in rheumatology.</w:t>
            </w:r>
          </w:p>
          <w:p w14:paraId="7D728F17" w14:textId="30E5362F" w:rsidR="002707AE" w:rsidRPr="00F40D89" w:rsidRDefault="00000000">
            <w:pPr>
              <w:spacing w:after="0" w:line="240" w:lineRule="auto"/>
              <w:rPr>
                <w:lang w:val="en-US"/>
              </w:rPr>
            </w:pPr>
            <w:r w:rsidRPr="00F40D89">
              <w:rPr>
                <w:lang w:val="en-US"/>
              </w:rPr>
              <w:t xml:space="preserve">ĆWICZENIA: </w:t>
            </w:r>
          </w:p>
          <w:p w14:paraId="48E3E18A" w14:textId="7AA520B8" w:rsidR="002707AE" w:rsidRPr="00F40D89" w:rsidRDefault="002707AE">
            <w:pPr>
              <w:spacing w:after="0" w:line="240" w:lineRule="auto"/>
              <w:rPr>
                <w:lang w:val="en-US"/>
              </w:rPr>
            </w:pPr>
            <w:r w:rsidRPr="00F40D89">
              <w:rPr>
                <w:lang w:val="en-US"/>
              </w:rPr>
              <w:t>Endocrinology</w:t>
            </w:r>
            <w:r w:rsidR="00F40D89" w:rsidRPr="00F40D89">
              <w:rPr>
                <w:lang w:val="en-US"/>
              </w:rPr>
              <w:t>:</w:t>
            </w:r>
          </w:p>
          <w:p w14:paraId="7C43135C" w14:textId="4C461823" w:rsidR="002707AE" w:rsidRPr="00F40D89" w:rsidRDefault="002707AE" w:rsidP="002707AE">
            <w:pPr>
              <w:spacing w:after="0" w:line="240" w:lineRule="auto"/>
              <w:rPr>
                <w:lang w:val="en-US"/>
              </w:rPr>
            </w:pPr>
            <w:r w:rsidRPr="00F40D89">
              <w:rPr>
                <w:lang w:val="en-US"/>
              </w:rPr>
              <w:lastRenderedPageBreak/>
              <w:t>Thyroid gland dysfunction</w:t>
            </w:r>
            <w:r w:rsidR="00F40D89" w:rsidRPr="00F40D89">
              <w:rPr>
                <w:lang w:val="en-US"/>
              </w:rPr>
              <w:t xml:space="preserve">. </w:t>
            </w:r>
            <w:r w:rsidRPr="00F40D89">
              <w:rPr>
                <w:lang w:val="en-US"/>
              </w:rPr>
              <w:t xml:space="preserve">Graves' disease - (definition and etiopathogenesis, clinical picture, diagnosis, differentiation, treatment, prognosis). Thyroid orbitopathy. Toxic and </w:t>
            </w:r>
            <w:proofErr w:type="spellStart"/>
            <w:r w:rsidRPr="00F40D89">
              <w:rPr>
                <w:lang w:val="en-US"/>
              </w:rPr>
              <w:t>non toxic</w:t>
            </w:r>
            <w:proofErr w:type="spellEnd"/>
            <w:r w:rsidRPr="00F40D89">
              <w:rPr>
                <w:lang w:val="en-US"/>
              </w:rPr>
              <w:t xml:space="preserve"> nodular goiter. Thyroid cancer. Thyroiditis.</w:t>
            </w:r>
            <w:r w:rsidR="00F40D89" w:rsidRPr="00F40D89">
              <w:rPr>
                <w:lang w:val="en-US"/>
              </w:rPr>
              <w:t xml:space="preserve"> </w:t>
            </w:r>
            <w:r w:rsidRPr="00F40D89">
              <w:rPr>
                <w:lang w:val="en-US"/>
              </w:rPr>
              <w:t>Thyroiditis and thyroid cancers.</w:t>
            </w:r>
            <w:r w:rsidR="00F40D89" w:rsidRPr="00F40D89">
              <w:rPr>
                <w:lang w:val="en-US"/>
              </w:rPr>
              <w:t xml:space="preserve"> </w:t>
            </w:r>
            <w:r w:rsidRPr="00F40D89">
              <w:rPr>
                <w:lang w:val="en-US"/>
              </w:rPr>
              <w:t xml:space="preserve">Hyperaldosteronism, Cushing syndrome, Addison disease. Adrenal gland incidentaloma. Adrenal gland cancer. MEN syndromed. Hypo- and </w:t>
            </w:r>
            <w:proofErr w:type="spellStart"/>
            <w:r w:rsidRPr="00F40D89">
              <w:rPr>
                <w:lang w:val="en-US"/>
              </w:rPr>
              <w:t>hyperparathyreoidism</w:t>
            </w:r>
            <w:proofErr w:type="spellEnd"/>
            <w:r w:rsidRPr="00F40D89">
              <w:rPr>
                <w:lang w:val="en-US"/>
              </w:rPr>
              <w:t>.</w:t>
            </w:r>
            <w:r w:rsidR="00F40D89" w:rsidRPr="00F40D89">
              <w:rPr>
                <w:lang w:val="en-US"/>
              </w:rPr>
              <w:t xml:space="preserve"> </w:t>
            </w:r>
            <w:r w:rsidRPr="00F40D89">
              <w:rPr>
                <w:lang w:val="en-US"/>
              </w:rPr>
              <w:t>Pituitary tumors.</w:t>
            </w:r>
            <w:r w:rsidR="00F40D89" w:rsidRPr="00F40D89">
              <w:rPr>
                <w:lang w:val="en-US"/>
              </w:rPr>
              <w:t xml:space="preserve"> </w:t>
            </w:r>
            <w:r w:rsidRPr="00F40D89">
              <w:rPr>
                <w:lang w:val="en-US"/>
              </w:rPr>
              <w:t>Hormonally active and inactive pituitary gland tumors. Hormonal disorders of ovaries with women: primary and secondary amenorrhea, polycystic ovary syndrome. Tumors of ovaries. Disorders of perimenopausal and postmenopausal period.</w:t>
            </w:r>
            <w:r w:rsidR="00F40D89">
              <w:rPr>
                <w:lang w:val="en-US"/>
              </w:rPr>
              <w:t xml:space="preserve"> </w:t>
            </w:r>
            <w:r w:rsidRPr="00F40D89">
              <w:rPr>
                <w:lang w:val="en-US"/>
              </w:rPr>
              <w:t>Primary and secondary hormonal disorders of testes with men. Neoplasms of testicles. Gynecomastia.</w:t>
            </w:r>
            <w:r w:rsidR="00F40D89" w:rsidRPr="00F40D89">
              <w:rPr>
                <w:lang w:val="en-US"/>
              </w:rPr>
              <w:t xml:space="preserve"> </w:t>
            </w:r>
            <w:r w:rsidRPr="00F40D89">
              <w:rPr>
                <w:lang w:val="en-US"/>
              </w:rPr>
              <w:t xml:space="preserve">Water-electrolyte and acid-base balance disorders: dehydration, overhydration, hypo and hypernatremia, hypo and hyperkalemia, hypo and hypermagnesemia, hypo- and hypercalcemia, hypo- and hyperphosphatemia; acidosis and alkalosis. </w:t>
            </w:r>
          </w:p>
          <w:p w14:paraId="1BBCE5E7" w14:textId="2A50E3AE" w:rsidR="00362177" w:rsidRPr="00F40D89" w:rsidRDefault="002707AE" w:rsidP="002707AE">
            <w:pPr>
              <w:spacing w:after="0" w:line="240" w:lineRule="auto"/>
              <w:rPr>
                <w:lang w:val="it-IT"/>
              </w:rPr>
            </w:pPr>
            <w:r w:rsidRPr="00F40D89">
              <w:rPr>
                <w:lang w:val="en-US"/>
              </w:rPr>
              <w:t xml:space="preserve">Metabolic diseases of bone: </w:t>
            </w:r>
            <w:proofErr w:type="spellStart"/>
            <w:r w:rsidRPr="00F40D89">
              <w:rPr>
                <w:lang w:val="en-US"/>
              </w:rPr>
              <w:t>osteomalacia</w:t>
            </w:r>
            <w:proofErr w:type="spellEnd"/>
            <w:r w:rsidRPr="00F40D89">
              <w:rPr>
                <w:lang w:val="en-US"/>
              </w:rPr>
              <w:t>, osteoporosis – determinants of peak bone mass and density, diagnosis and treatment of osteoporosis, FRAX; primary and secondary osteoporosis; prophylaxis of osteoporosis.</w:t>
            </w:r>
            <w:r w:rsidR="00000000" w:rsidRPr="00F40D89">
              <w:rPr>
                <w:lang w:val="en-US"/>
              </w:rPr>
              <w:br/>
              <w:t>Gastroenterology</w:t>
            </w:r>
            <w:r w:rsidR="00F40D89" w:rsidRPr="00F40D89">
              <w:rPr>
                <w:lang w:val="en-US"/>
              </w:rPr>
              <w:t>:</w:t>
            </w:r>
            <w:r w:rsidR="00000000" w:rsidRPr="00F40D89">
              <w:rPr>
                <w:lang w:val="en-US"/>
              </w:rPr>
              <w:t xml:space="preserve"> </w:t>
            </w:r>
            <w:r w:rsidR="00000000" w:rsidRPr="00F40D89">
              <w:rPr>
                <w:lang w:val="en-US"/>
              </w:rPr>
              <w:br/>
              <w:t>GI symptomatology. Clinical manifestations, diagnosis and treatment of gastroesophagealreflux disease. Current guidelines of acute pancreatitis management. Colorectal cancer – symptoms</w:t>
            </w:r>
          </w:p>
          <w:p w14:paraId="38CC9EDE" w14:textId="77777777" w:rsidR="00362177" w:rsidRPr="00F40D89" w:rsidRDefault="00362177">
            <w:pPr>
              <w:spacing w:after="0" w:line="240" w:lineRule="auto"/>
              <w:rPr>
                <w:lang w:val="it-IT"/>
              </w:rPr>
            </w:pPr>
          </w:p>
          <w:p w14:paraId="00083895" w14:textId="77777777" w:rsidR="00362177" w:rsidRPr="00F40D89" w:rsidRDefault="00362177">
            <w:pPr>
              <w:spacing w:after="0" w:line="240" w:lineRule="auto"/>
              <w:rPr>
                <w:b/>
                <w:bCs/>
                <w:lang w:val="it-IT"/>
              </w:rPr>
            </w:pPr>
          </w:p>
          <w:p w14:paraId="566F6E70" w14:textId="77777777" w:rsidR="00362177" w:rsidRPr="00F40D89" w:rsidRDefault="00000000">
            <w:pPr>
              <w:spacing w:after="0" w:line="240" w:lineRule="auto"/>
              <w:rPr>
                <w:lang w:val="en-US"/>
              </w:rPr>
            </w:pPr>
            <w:r w:rsidRPr="00F40D89">
              <w:rPr>
                <w:b/>
                <w:bCs/>
                <w:lang w:val="en-US"/>
              </w:rPr>
              <w:t>TEACHING OBJECTIVE:</w:t>
            </w:r>
          </w:p>
          <w:p w14:paraId="0BECB561" w14:textId="77777777" w:rsidR="00362177" w:rsidRPr="00F40D89" w:rsidRDefault="00000000">
            <w:pPr>
              <w:spacing w:after="0" w:line="240" w:lineRule="auto"/>
              <w:rPr>
                <w:lang w:val="en-US"/>
              </w:rPr>
            </w:pPr>
            <w:r w:rsidRPr="00F40D89">
              <w:rPr>
                <w:rFonts w:eastAsia="Calibri"/>
                <w:lang w:val="en-US"/>
              </w:rPr>
              <w:t>Etiology, pathophysiology, epidemiology, diagnosis and treatment of diseases</w:t>
            </w:r>
            <w:r w:rsidRPr="00F40D89">
              <w:rPr>
                <w:rFonts w:eastAsia="Calibri"/>
                <w:lang w:val="en-US"/>
              </w:rPr>
              <w:br/>
              <w:t>respiratory system, allergies, metabolic diseases, diseases</w:t>
            </w:r>
            <w:r w:rsidRPr="00F40D89">
              <w:rPr>
                <w:rFonts w:eastAsia="Calibri"/>
                <w:lang w:val="en-US"/>
              </w:rPr>
              <w:br/>
              <w:t>rheumatological diseases, heart diseases and hematopoietic system diseases.</w:t>
            </w:r>
          </w:p>
          <w:p w14:paraId="12F70090" w14:textId="77777777" w:rsidR="00362177" w:rsidRPr="00F40D89" w:rsidRDefault="00362177">
            <w:pPr>
              <w:spacing w:after="0" w:line="240" w:lineRule="auto"/>
              <w:rPr>
                <w:lang w:val="en-US"/>
              </w:rPr>
            </w:pPr>
          </w:p>
          <w:p w14:paraId="28DD623D" w14:textId="77777777" w:rsidR="00362177" w:rsidRDefault="00000000">
            <w:pPr>
              <w:spacing w:after="0" w:line="240" w:lineRule="auto"/>
              <w:rPr>
                <w:b/>
                <w:bCs/>
                <w:sz w:val="24"/>
                <w:szCs w:val="24"/>
                <w:lang w:val="en-US"/>
              </w:rPr>
            </w:pPr>
            <w:r>
              <w:rPr>
                <w:b/>
                <w:bCs/>
                <w:sz w:val="24"/>
                <w:szCs w:val="24"/>
                <w:lang w:val="en-US" w:eastAsia="pl-PL"/>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p>
          <w:p w14:paraId="500E9467" w14:textId="77777777" w:rsidR="00362177" w:rsidRDefault="00362177">
            <w:pPr>
              <w:spacing w:after="0" w:line="240" w:lineRule="auto"/>
              <w:rPr>
                <w:sz w:val="24"/>
                <w:szCs w:val="24"/>
                <w:lang w:val="en-US"/>
              </w:rPr>
            </w:pPr>
          </w:p>
          <w:p w14:paraId="5A600FE1" w14:textId="77777777" w:rsidR="00362177"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discipline:</w:t>
            </w:r>
          </w:p>
          <w:p w14:paraId="324E0A20" w14:textId="77777777" w:rsidR="00362177" w:rsidRDefault="00362177">
            <w:pPr>
              <w:spacing w:after="0" w:line="240" w:lineRule="auto"/>
              <w:rPr>
                <w:sz w:val="24"/>
                <w:szCs w:val="24"/>
                <w:lang w:val="en-US"/>
              </w:rPr>
            </w:pPr>
          </w:p>
          <w:p w14:paraId="76E729DD" w14:textId="77777777" w:rsidR="00362177" w:rsidRDefault="00362177">
            <w:pPr>
              <w:spacing w:after="0" w:line="240" w:lineRule="auto"/>
              <w:rPr>
                <w:sz w:val="24"/>
                <w:szCs w:val="24"/>
                <w:lang w:val="en-US"/>
              </w:rPr>
            </w:pPr>
          </w:p>
          <w:p w14:paraId="1D3E04FD" w14:textId="77777777" w:rsidR="00362177" w:rsidRDefault="00000000">
            <w:pPr>
              <w:spacing w:after="0" w:line="240" w:lineRule="auto"/>
              <w:rPr>
                <w:sz w:val="24"/>
                <w:szCs w:val="24"/>
                <w:lang w:val="en-US"/>
              </w:rPr>
            </w:pPr>
            <w:r>
              <w:rPr>
                <w:rFonts w:ascii="Arial" w:hAnsi="Arial" w:cs="Arial"/>
                <w:b/>
                <w:bCs/>
                <w:sz w:val="24"/>
                <w:szCs w:val="24"/>
                <w:shd w:val="clear" w:color="auto" w:fill="FFFFFF"/>
                <w:lang w:val="en-US"/>
              </w:rPr>
              <w:t>Symbols for outcomes related to the field of study:</w:t>
            </w:r>
          </w:p>
          <w:p w14:paraId="6F522191" w14:textId="77777777" w:rsidR="00362177" w:rsidRDefault="00362177">
            <w:pPr>
              <w:spacing w:after="0" w:line="240" w:lineRule="auto"/>
              <w:rPr>
                <w:sz w:val="24"/>
                <w:szCs w:val="24"/>
                <w:lang w:val="en-US"/>
              </w:rPr>
            </w:pPr>
          </w:p>
          <w:p w14:paraId="3CDEB8B4" w14:textId="77777777" w:rsidR="00362177" w:rsidRDefault="00362177">
            <w:pPr>
              <w:spacing w:after="0" w:line="240" w:lineRule="auto"/>
              <w:rPr>
                <w:sz w:val="24"/>
                <w:szCs w:val="24"/>
                <w:lang w:val="en-US"/>
              </w:rPr>
            </w:pPr>
          </w:p>
          <w:p w14:paraId="4760A323" w14:textId="77777777" w:rsidR="00362177" w:rsidRDefault="00000000">
            <w:pPr>
              <w:spacing w:after="0" w:line="240" w:lineRule="auto"/>
              <w:rPr>
                <w:sz w:val="24"/>
                <w:szCs w:val="24"/>
                <w:lang w:val="en-US"/>
              </w:rPr>
            </w:pPr>
            <w:r>
              <w:rPr>
                <w:b/>
                <w:bCs/>
                <w:sz w:val="24"/>
                <w:szCs w:val="24"/>
                <w:lang w:val="en-US"/>
              </w:rPr>
              <w:t>LEARNING OUTCOMES (Knowledge, Skills, Social competence):</w:t>
            </w:r>
          </w:p>
          <w:tbl>
            <w:tblPr>
              <w:tblW w:w="8288" w:type="dxa"/>
              <w:tblCellMar>
                <w:top w:w="58" w:type="dxa"/>
                <w:left w:w="29" w:type="dxa"/>
                <w:bottom w:w="58" w:type="dxa"/>
                <w:right w:w="29" w:type="dxa"/>
              </w:tblCellMar>
              <w:tblLook w:val="04A0" w:firstRow="1" w:lastRow="0" w:firstColumn="1" w:lastColumn="0" w:noHBand="0" w:noVBand="1"/>
            </w:tblPr>
            <w:tblGrid>
              <w:gridCol w:w="721"/>
              <w:gridCol w:w="7567"/>
            </w:tblGrid>
            <w:tr w:rsidR="00362177" w:rsidRPr="009E3068" w14:paraId="418F94BB" w14:textId="77777777">
              <w:tc>
                <w:tcPr>
                  <w:tcW w:w="721" w:type="dxa"/>
                </w:tcPr>
                <w:p w14:paraId="4245D5DB" w14:textId="77777777" w:rsidR="00362177" w:rsidRDefault="00000000" w:rsidP="006D637E">
                  <w:pPr>
                    <w:spacing w:after="0" w:line="240" w:lineRule="auto"/>
                  </w:pPr>
                  <w:r>
                    <w:rPr>
                      <w:b/>
                      <w:bCs/>
                      <w:highlight w:val="white"/>
                      <w:u w:val="single"/>
                    </w:rPr>
                    <w:t>W1</w:t>
                  </w:r>
                  <w:r>
                    <w:rPr>
                      <w:highlight w:val="white"/>
                    </w:rPr>
                    <w:t xml:space="preserve"> </w:t>
                  </w:r>
                </w:p>
              </w:tc>
              <w:tc>
                <w:tcPr>
                  <w:tcW w:w="7566" w:type="dxa"/>
                </w:tcPr>
                <w:p w14:paraId="0C29FB05" w14:textId="77777777" w:rsidR="00362177" w:rsidRPr="009E3068" w:rsidRDefault="00000000" w:rsidP="006D637E">
                  <w:pPr>
                    <w:spacing w:after="0" w:line="240" w:lineRule="auto"/>
                    <w:rPr>
                      <w:lang w:val="it-IT"/>
                    </w:rPr>
                  </w:pPr>
                  <w:r w:rsidRPr="009E3068">
                    <w:rPr>
                      <w:highlight w:val="white"/>
                      <w:lang w:val="it-IT"/>
                    </w:rPr>
                    <w:t>The student knows and understand environmental and epidemiological conditions of the most frequent diseases</w:t>
                  </w:r>
                </w:p>
              </w:tc>
            </w:tr>
            <w:tr w:rsidR="00362177" w:rsidRPr="009E3068" w14:paraId="5290BCA0" w14:textId="77777777">
              <w:tc>
                <w:tcPr>
                  <w:tcW w:w="721" w:type="dxa"/>
                </w:tcPr>
                <w:p w14:paraId="1CF77D39" w14:textId="77777777" w:rsidR="00362177" w:rsidRDefault="00000000" w:rsidP="006D637E">
                  <w:pPr>
                    <w:spacing w:after="0" w:line="240" w:lineRule="auto"/>
                  </w:pPr>
                  <w:r>
                    <w:rPr>
                      <w:b/>
                      <w:bCs/>
                      <w:highlight w:val="white"/>
                      <w:u w:val="single"/>
                    </w:rPr>
                    <w:t>W2</w:t>
                  </w:r>
                  <w:r>
                    <w:rPr>
                      <w:highlight w:val="white"/>
                    </w:rPr>
                    <w:t xml:space="preserve"> </w:t>
                  </w:r>
                </w:p>
              </w:tc>
              <w:tc>
                <w:tcPr>
                  <w:tcW w:w="7566" w:type="dxa"/>
                </w:tcPr>
                <w:p w14:paraId="5D8BADA0" w14:textId="77777777" w:rsidR="00362177" w:rsidRPr="009E3068" w:rsidRDefault="00000000" w:rsidP="006D637E">
                  <w:pPr>
                    <w:spacing w:after="0" w:line="240" w:lineRule="auto"/>
                    <w:rPr>
                      <w:lang w:val="it-IT"/>
                    </w:rPr>
                  </w:pPr>
                  <w:r w:rsidRPr="009E3068">
                    <w:rPr>
                      <w:highlight w:val="white"/>
                      <w:lang w:val="it-IT"/>
                    </w:rPr>
                    <w:t>The student knows and understand the significance of verbal and non-verbal communication in the process of communicating with the patient, and the notion of trust in interaction with the patient</w:t>
                  </w:r>
                </w:p>
              </w:tc>
            </w:tr>
            <w:tr w:rsidR="00362177" w:rsidRPr="009E3068" w14:paraId="4F040ECD" w14:textId="77777777">
              <w:tc>
                <w:tcPr>
                  <w:tcW w:w="721" w:type="dxa"/>
                </w:tcPr>
                <w:p w14:paraId="15A11660" w14:textId="77777777" w:rsidR="00362177" w:rsidRDefault="00000000" w:rsidP="006D637E">
                  <w:pPr>
                    <w:spacing w:after="0" w:line="240" w:lineRule="auto"/>
                  </w:pPr>
                  <w:r>
                    <w:rPr>
                      <w:b/>
                      <w:bCs/>
                      <w:highlight w:val="white"/>
                      <w:u w:val="single"/>
                    </w:rPr>
                    <w:t>W3</w:t>
                  </w:r>
                  <w:r>
                    <w:rPr>
                      <w:highlight w:val="white"/>
                    </w:rPr>
                    <w:t xml:space="preserve"> </w:t>
                  </w:r>
                </w:p>
              </w:tc>
              <w:tc>
                <w:tcPr>
                  <w:tcW w:w="7566" w:type="dxa"/>
                </w:tcPr>
                <w:p w14:paraId="5FE428F4" w14:textId="77777777" w:rsidR="00362177" w:rsidRPr="009E3068" w:rsidRDefault="00000000" w:rsidP="006D637E">
                  <w:pPr>
                    <w:spacing w:after="0" w:line="240" w:lineRule="auto"/>
                    <w:rPr>
                      <w:lang w:val="it-IT"/>
                    </w:rPr>
                  </w:pPr>
                  <w:r w:rsidRPr="009E3068">
                    <w:rPr>
                      <w:highlight w:val="white"/>
                      <w:lang w:val="it-IT"/>
                    </w:rPr>
                    <w:t>The student knows and understand the patient’s rights</w:t>
                  </w:r>
                </w:p>
              </w:tc>
            </w:tr>
            <w:tr w:rsidR="00362177" w14:paraId="74C07CA5" w14:textId="77777777">
              <w:tc>
                <w:tcPr>
                  <w:tcW w:w="721" w:type="dxa"/>
                </w:tcPr>
                <w:p w14:paraId="69B8B978" w14:textId="77777777" w:rsidR="00362177" w:rsidRDefault="00000000" w:rsidP="006D637E">
                  <w:pPr>
                    <w:spacing w:after="0" w:line="240" w:lineRule="auto"/>
                  </w:pPr>
                  <w:r>
                    <w:rPr>
                      <w:b/>
                      <w:bCs/>
                      <w:highlight w:val="white"/>
                      <w:u w:val="single"/>
                    </w:rPr>
                    <w:t>W4</w:t>
                  </w:r>
                  <w:r>
                    <w:rPr>
                      <w:highlight w:val="white"/>
                    </w:rPr>
                    <w:t xml:space="preserve"> </w:t>
                  </w:r>
                </w:p>
              </w:tc>
              <w:tc>
                <w:tcPr>
                  <w:tcW w:w="7566" w:type="dxa"/>
                </w:tcPr>
                <w:p w14:paraId="6EB0191E" w14:textId="77777777" w:rsidR="00362177" w:rsidRDefault="00000000" w:rsidP="006D637E">
                  <w:pPr>
                    <w:spacing w:after="0" w:line="240" w:lineRule="auto"/>
                  </w:pPr>
                  <w:r>
                    <w:rPr>
                      <w:highlight w:val="white"/>
                    </w:rPr>
                    <w:t>The student knows and understand  the causes, symptoms, principles of diagnosing and treating the most frequently encountered internal diseases of adults and their complications:</w:t>
                  </w:r>
                  <w:r>
                    <w:rPr>
                      <w:highlight w:val="white"/>
                    </w:rPr>
                    <w:br/>
                    <w:t xml:space="preserve">1) </w:t>
                  </w:r>
                  <w:r>
                    <w:rPr>
                      <w:highlight w:val="white"/>
                    </w:rPr>
                    <w:tab/>
                    <w:t>cardiovascular diseases, including ischemic heart disease, heart defects, diseases of the endocardium, myocardium, and pericardium, heart insufficiency (acute and chronic), arterial and venous diseases, hypertension – primary and secondary, pulmonary hypertension,</w:t>
                  </w:r>
                  <w:r>
                    <w:rPr>
                      <w:highlight w:val="white"/>
                    </w:rPr>
                    <w:br/>
                    <w:t>2)</w:t>
                  </w:r>
                  <w:r>
                    <w:rPr>
                      <w:highlight w:val="white"/>
                    </w:rPr>
                    <w:tab/>
                    <w:t>respiratory diseases, including airways diseases, chronic obstructive pulmonary disease, bronchial asthma, bronchiectasis, cystic fibrosis, respiratory tract infections, interstitial respiratory diseases, pleural diseases, mediastinum diseases, obstructive sleep apnoea, respiratory distress (acute and chronic), bronchogenic carcinomas,</w:t>
                  </w:r>
                  <w:r>
                    <w:rPr>
                      <w:highlight w:val="white"/>
                    </w:rPr>
                    <w:br/>
                  </w:r>
                  <w:r>
                    <w:rPr>
                      <w:highlight w:val="white"/>
                    </w:rPr>
                    <w:lastRenderedPageBreak/>
                    <w:t>3)</w:t>
                  </w:r>
                  <w:r>
                    <w:rPr>
                      <w:highlight w:val="white"/>
                    </w:rPr>
                    <w:tab/>
                    <w:t>gastrointestinal diseases, including oral diseases, oesophageal diseases, stomach and duodenal diseases, intestinal diseases, pancreatic diseases, liver diseases, biliary tract and gallbladder diseases,</w:t>
                  </w:r>
                  <w:r>
                    <w:rPr>
                      <w:highlight w:val="white"/>
                    </w:rPr>
                    <w:br/>
                    <w:t>4)</w:t>
                  </w:r>
                  <w:r>
                    <w:rPr>
                      <w:highlight w:val="white"/>
                    </w:rPr>
                    <w:tab/>
                    <w:t>endocrine system diseases, including the hypothalamus and pituitary gland diseases, thyroid and parathyroid diseases, adrenal cortex and medulla diseases, ovary and testicle diseases and neuroendocrine tumours, polyglandular syndromes, diabetes of various types, and the metabolic syndrome – hypoglycaemia, obesity, dyslipidaemia,</w:t>
                  </w:r>
                  <w:r>
                    <w:rPr>
                      <w:highlight w:val="white"/>
                    </w:rPr>
                    <w:br/>
                    <w:t>5)</w:t>
                  </w:r>
                  <w:r>
                    <w:rPr>
                      <w:highlight w:val="white"/>
                    </w:rPr>
                    <w:tab/>
                    <w:t>kidney and urinary tract diseases, including acute and chronic kidney failures, glomerulus and interstitial kidney diseases, renal cysts, kidney stones, urinary tract infections, urinary tract carcinomas, especially of the urinary bladder and kidneys,</w:t>
                  </w:r>
                  <w:r>
                    <w:rPr>
                      <w:highlight w:val="white"/>
                    </w:rPr>
                    <w:br/>
                    <w:t>6)</w:t>
                  </w:r>
                  <w:r>
                    <w:rPr>
                      <w:highlight w:val="white"/>
                    </w:rPr>
                    <w:tab/>
                    <w:t xml:space="preserve">diseases of the haematopoietic system, including bone marrow aplasia, anaemia, granulocytopaenia and agranulocytosis, thrombocytopaenia, acute leukaemias, myeloproliferative and myeloproliferative-myelodysplastic neoplasms, myelodysplastic syndromes, neoplasms of mature lymphocytes B and T, haemorrhagic diatheses, thrombophilia, immediate life-threatening conditions in haematology, </w:t>
                  </w:r>
                  <w:r>
                    <w:rPr>
                      <w:highlight w:val="white"/>
                    </w:rPr>
                    <w:br/>
                    <w:t>blood disorders in diseases of other organs,</w:t>
                  </w:r>
                  <w:r>
                    <w:rPr>
                      <w:highlight w:val="white"/>
                    </w:rPr>
                    <w:br/>
                    <w:t>7)</w:t>
                  </w:r>
                  <w:r>
                    <w:rPr>
                      <w:highlight w:val="white"/>
                    </w:rPr>
                    <w:tab/>
                    <w:t>rheumatic diseases, including systemic connective tissue diseases, systemic vasculitis, spondyloarthropathies, bone metabolic diseases, especially osteoporosis and osteoarthritis, gout,</w:t>
                  </w:r>
                  <w:r>
                    <w:rPr>
                      <w:highlight w:val="white"/>
                    </w:rPr>
                    <w:br/>
                    <w:t>8)</w:t>
                  </w:r>
                  <w:r>
                    <w:rPr>
                      <w:highlight w:val="white"/>
                    </w:rPr>
                    <w:tab/>
                    <w:t>allergic diseases, including anaphylaxis and anaphylactic shock, and angioedema,</w:t>
                  </w:r>
                  <w:r>
                    <w:rPr>
                      <w:highlight w:val="white"/>
                    </w:rPr>
                    <w:br/>
                    <w:t>9)</w:t>
                  </w:r>
                  <w:r>
                    <w:rPr>
                      <w:highlight w:val="white"/>
                    </w:rPr>
                    <w:tab/>
                    <w:t>water-and-electrolyte and acid-base disorders: dehydrations, excessive water retention, electrolyte management disorders, acidosis and alkalosis</w:t>
                  </w:r>
                </w:p>
              </w:tc>
            </w:tr>
            <w:tr w:rsidR="00362177" w:rsidRPr="009E3068" w14:paraId="2F54144C" w14:textId="77777777">
              <w:tc>
                <w:tcPr>
                  <w:tcW w:w="721" w:type="dxa"/>
                </w:tcPr>
                <w:p w14:paraId="177AC3C0" w14:textId="77777777" w:rsidR="00362177" w:rsidRDefault="00000000" w:rsidP="006D637E">
                  <w:pPr>
                    <w:spacing w:after="0" w:line="240" w:lineRule="auto"/>
                  </w:pPr>
                  <w:r>
                    <w:rPr>
                      <w:b/>
                      <w:bCs/>
                      <w:highlight w:val="white"/>
                      <w:u w:val="single"/>
                    </w:rPr>
                    <w:lastRenderedPageBreak/>
                    <w:t>U1</w:t>
                  </w:r>
                  <w:r>
                    <w:rPr>
                      <w:highlight w:val="white"/>
                    </w:rPr>
                    <w:t xml:space="preserve"> </w:t>
                  </w:r>
                </w:p>
              </w:tc>
              <w:tc>
                <w:tcPr>
                  <w:tcW w:w="7566" w:type="dxa"/>
                </w:tcPr>
                <w:p w14:paraId="5BB44F53" w14:textId="77777777" w:rsidR="00362177" w:rsidRPr="009E3068" w:rsidRDefault="00000000" w:rsidP="006D637E">
                  <w:pPr>
                    <w:spacing w:after="0" w:line="240" w:lineRule="auto"/>
                    <w:rPr>
                      <w:lang w:val="it-IT"/>
                    </w:rPr>
                  </w:pPr>
                  <w:r w:rsidRPr="009E3068">
                    <w:rPr>
                      <w:highlight w:val="white"/>
                      <w:lang w:val="it-IT"/>
                    </w:rPr>
                    <w:t>The student can take medical interview with an adult patient</w:t>
                  </w:r>
                </w:p>
              </w:tc>
            </w:tr>
            <w:tr w:rsidR="00362177" w:rsidRPr="009E3068" w14:paraId="4F870B9F" w14:textId="77777777">
              <w:tc>
                <w:tcPr>
                  <w:tcW w:w="721" w:type="dxa"/>
                </w:tcPr>
                <w:p w14:paraId="479B65BA" w14:textId="77777777" w:rsidR="00362177" w:rsidRDefault="00000000" w:rsidP="006D637E">
                  <w:pPr>
                    <w:spacing w:after="0" w:line="240" w:lineRule="auto"/>
                  </w:pPr>
                  <w:r>
                    <w:rPr>
                      <w:b/>
                      <w:bCs/>
                      <w:highlight w:val="white"/>
                      <w:u w:val="single"/>
                    </w:rPr>
                    <w:t>U2</w:t>
                  </w:r>
                  <w:r>
                    <w:rPr>
                      <w:highlight w:val="white"/>
                    </w:rPr>
                    <w:t xml:space="preserve"> </w:t>
                  </w:r>
                </w:p>
              </w:tc>
              <w:tc>
                <w:tcPr>
                  <w:tcW w:w="7566" w:type="dxa"/>
                </w:tcPr>
                <w:p w14:paraId="2F9A5A4D" w14:textId="77777777" w:rsidR="00362177" w:rsidRPr="009E3068" w:rsidRDefault="00000000" w:rsidP="006D637E">
                  <w:pPr>
                    <w:spacing w:after="0" w:line="240" w:lineRule="auto"/>
                    <w:rPr>
                      <w:lang w:val="it-IT"/>
                    </w:rPr>
                  </w:pPr>
                  <w:r w:rsidRPr="009E3068">
                    <w:rPr>
                      <w:highlight w:val="white"/>
                      <w:lang w:val="it-IT"/>
                    </w:rPr>
                    <w:t>The student can conduct complete and targeted physical examination of an adult patient</w:t>
                  </w:r>
                </w:p>
              </w:tc>
            </w:tr>
            <w:tr w:rsidR="00362177" w:rsidRPr="009E3068" w14:paraId="66C08D16" w14:textId="77777777">
              <w:tc>
                <w:tcPr>
                  <w:tcW w:w="721" w:type="dxa"/>
                </w:tcPr>
                <w:p w14:paraId="0AD5AFD4" w14:textId="77777777" w:rsidR="00362177" w:rsidRDefault="00000000" w:rsidP="006D637E">
                  <w:pPr>
                    <w:spacing w:after="0" w:line="240" w:lineRule="auto"/>
                  </w:pPr>
                  <w:r>
                    <w:rPr>
                      <w:b/>
                      <w:bCs/>
                      <w:highlight w:val="white"/>
                      <w:u w:val="single"/>
                    </w:rPr>
                    <w:t>U3</w:t>
                  </w:r>
                  <w:r>
                    <w:rPr>
                      <w:highlight w:val="white"/>
                    </w:rPr>
                    <w:t xml:space="preserve"> </w:t>
                  </w:r>
                </w:p>
              </w:tc>
              <w:tc>
                <w:tcPr>
                  <w:tcW w:w="7566" w:type="dxa"/>
                </w:tcPr>
                <w:p w14:paraId="42C6FC0E" w14:textId="77777777" w:rsidR="00362177" w:rsidRPr="009E3068" w:rsidRDefault="00000000" w:rsidP="006D637E">
                  <w:pPr>
                    <w:spacing w:after="0" w:line="240" w:lineRule="auto"/>
                    <w:rPr>
                      <w:lang w:val="it-IT"/>
                    </w:rPr>
                  </w:pPr>
                  <w:r w:rsidRPr="009E3068">
                    <w:rPr>
                      <w:highlight w:val="white"/>
                      <w:lang w:val="it-IT"/>
                    </w:rPr>
                    <w:t>The student can evaluate the overall condition, state of consciousness, and awareness of the patient</w:t>
                  </w:r>
                </w:p>
              </w:tc>
            </w:tr>
            <w:tr w:rsidR="00362177" w:rsidRPr="009E3068" w14:paraId="63C7148D" w14:textId="77777777">
              <w:tc>
                <w:tcPr>
                  <w:tcW w:w="721" w:type="dxa"/>
                </w:tcPr>
                <w:p w14:paraId="03F16355" w14:textId="77777777" w:rsidR="00362177" w:rsidRDefault="00000000" w:rsidP="006D637E">
                  <w:pPr>
                    <w:spacing w:after="0" w:line="240" w:lineRule="auto"/>
                  </w:pPr>
                  <w:r>
                    <w:rPr>
                      <w:b/>
                      <w:bCs/>
                      <w:highlight w:val="white"/>
                      <w:u w:val="single"/>
                    </w:rPr>
                    <w:t>U4</w:t>
                  </w:r>
                  <w:r>
                    <w:rPr>
                      <w:highlight w:val="white"/>
                    </w:rPr>
                    <w:t xml:space="preserve"> </w:t>
                  </w:r>
                </w:p>
              </w:tc>
              <w:tc>
                <w:tcPr>
                  <w:tcW w:w="7566" w:type="dxa"/>
                </w:tcPr>
                <w:p w14:paraId="5E7C5B4A" w14:textId="77777777" w:rsidR="00362177" w:rsidRPr="009E3068" w:rsidRDefault="00000000" w:rsidP="006D637E">
                  <w:pPr>
                    <w:spacing w:after="0" w:line="240" w:lineRule="auto"/>
                    <w:rPr>
                      <w:lang w:val="it-IT"/>
                    </w:rPr>
                  </w:pPr>
                  <w:r w:rsidRPr="009E3068">
                    <w:rPr>
                      <w:highlight w:val="white"/>
                      <w:lang w:val="it-IT"/>
                    </w:rPr>
                    <w:t>The student can assess and describe the patient’s somatic and mental condition</w:t>
                  </w:r>
                </w:p>
              </w:tc>
            </w:tr>
            <w:tr w:rsidR="00362177" w:rsidRPr="009E3068" w14:paraId="4732DA95" w14:textId="77777777">
              <w:tc>
                <w:tcPr>
                  <w:tcW w:w="721" w:type="dxa"/>
                </w:tcPr>
                <w:p w14:paraId="676C49ED" w14:textId="77777777" w:rsidR="00362177" w:rsidRDefault="00000000" w:rsidP="006D637E">
                  <w:pPr>
                    <w:spacing w:after="0" w:line="240" w:lineRule="auto"/>
                  </w:pPr>
                  <w:r>
                    <w:rPr>
                      <w:b/>
                      <w:bCs/>
                      <w:highlight w:val="white"/>
                      <w:u w:val="single"/>
                    </w:rPr>
                    <w:t>U5</w:t>
                  </w:r>
                  <w:r>
                    <w:rPr>
                      <w:highlight w:val="white"/>
                    </w:rPr>
                    <w:t xml:space="preserve"> </w:t>
                  </w:r>
                </w:p>
              </w:tc>
              <w:tc>
                <w:tcPr>
                  <w:tcW w:w="7566" w:type="dxa"/>
                </w:tcPr>
                <w:p w14:paraId="405CE7BB" w14:textId="77777777" w:rsidR="00362177" w:rsidRPr="009E3068" w:rsidRDefault="00000000" w:rsidP="006D637E">
                  <w:pPr>
                    <w:spacing w:after="0" w:line="240" w:lineRule="auto"/>
                    <w:rPr>
                      <w:lang w:val="it-IT"/>
                    </w:rPr>
                  </w:pPr>
                  <w:r w:rsidRPr="009E3068">
                    <w:rPr>
                      <w:highlight w:val="white"/>
                      <w:lang w:val="it-IT"/>
                    </w:rPr>
                    <w:t>The student can recognise immediately life-threatening conditions</w:t>
                  </w:r>
                </w:p>
              </w:tc>
            </w:tr>
            <w:tr w:rsidR="00362177" w:rsidRPr="009E3068" w14:paraId="09ADFC41" w14:textId="77777777">
              <w:tc>
                <w:tcPr>
                  <w:tcW w:w="721" w:type="dxa"/>
                </w:tcPr>
                <w:p w14:paraId="04F86451" w14:textId="77777777" w:rsidR="00362177" w:rsidRDefault="00000000" w:rsidP="006D637E">
                  <w:pPr>
                    <w:spacing w:after="0" w:line="240" w:lineRule="auto"/>
                  </w:pPr>
                  <w:r>
                    <w:rPr>
                      <w:b/>
                      <w:bCs/>
                      <w:highlight w:val="white"/>
                      <w:u w:val="single"/>
                    </w:rPr>
                    <w:t>U6</w:t>
                  </w:r>
                  <w:r>
                    <w:rPr>
                      <w:highlight w:val="white"/>
                    </w:rPr>
                    <w:t xml:space="preserve"> </w:t>
                  </w:r>
                </w:p>
              </w:tc>
              <w:tc>
                <w:tcPr>
                  <w:tcW w:w="7566" w:type="dxa"/>
                </w:tcPr>
                <w:p w14:paraId="482D3744" w14:textId="77777777" w:rsidR="00362177" w:rsidRPr="009E3068" w:rsidRDefault="00000000" w:rsidP="006D637E">
                  <w:pPr>
                    <w:spacing w:after="0" w:line="240" w:lineRule="auto"/>
                    <w:rPr>
                      <w:lang w:val="it-IT"/>
                    </w:rPr>
                  </w:pPr>
                  <w:r w:rsidRPr="009E3068">
                    <w:rPr>
                      <w:highlight w:val="white"/>
                      <w:lang w:val="it-IT"/>
                    </w:rPr>
                    <w:t>The student can keep the patient’s medical records</w:t>
                  </w:r>
                </w:p>
              </w:tc>
            </w:tr>
            <w:tr w:rsidR="00362177" w14:paraId="7782163E" w14:textId="77777777">
              <w:tc>
                <w:tcPr>
                  <w:tcW w:w="721" w:type="dxa"/>
                </w:tcPr>
                <w:p w14:paraId="72B30734" w14:textId="77777777" w:rsidR="00362177" w:rsidRDefault="00000000" w:rsidP="006D637E">
                  <w:pPr>
                    <w:spacing w:after="0" w:line="240" w:lineRule="auto"/>
                  </w:pPr>
                  <w:r>
                    <w:rPr>
                      <w:b/>
                      <w:bCs/>
                      <w:highlight w:val="white"/>
                      <w:u w:val="single"/>
                    </w:rPr>
                    <w:t>K1</w:t>
                  </w:r>
                  <w:r>
                    <w:rPr>
                      <w:highlight w:val="white"/>
                    </w:rPr>
                    <w:t xml:space="preserve"> </w:t>
                  </w:r>
                </w:p>
              </w:tc>
              <w:tc>
                <w:tcPr>
                  <w:tcW w:w="7566" w:type="dxa"/>
                </w:tcPr>
                <w:p w14:paraId="59283B91" w14:textId="77777777" w:rsidR="00362177" w:rsidRDefault="00000000" w:rsidP="006D637E">
                  <w:pPr>
                    <w:spacing w:after="0" w:line="240" w:lineRule="auto"/>
                  </w:pPr>
                  <w:r>
                    <w:rPr>
                      <w:highlight w:val="white"/>
                    </w:rPr>
                    <w:t>The student is ready to establish and maintain a deep and respectful contact with the patient, as well as show understanding for worldview and cultural differences</w:t>
                  </w:r>
                  <w:r>
                    <w:rPr>
                      <w:highlight w:val="white"/>
                    </w:rPr>
                    <w:br/>
                  </w:r>
                  <w:r>
                    <w:rPr>
                      <w:highlight w:val="white"/>
                    </w:rPr>
                    <w:br/>
                  </w:r>
                </w:p>
              </w:tc>
            </w:tr>
            <w:tr w:rsidR="00362177" w14:paraId="0CC8BFE0" w14:textId="77777777">
              <w:tc>
                <w:tcPr>
                  <w:tcW w:w="721" w:type="dxa"/>
                </w:tcPr>
                <w:p w14:paraId="549C504B" w14:textId="77777777" w:rsidR="00362177" w:rsidRDefault="00000000" w:rsidP="006D637E">
                  <w:pPr>
                    <w:spacing w:after="0" w:line="240" w:lineRule="auto"/>
                  </w:pPr>
                  <w:r>
                    <w:rPr>
                      <w:b/>
                      <w:bCs/>
                      <w:highlight w:val="white"/>
                      <w:u w:val="single"/>
                    </w:rPr>
                    <w:t>K2</w:t>
                  </w:r>
                  <w:r>
                    <w:rPr>
                      <w:highlight w:val="white"/>
                    </w:rPr>
                    <w:t xml:space="preserve"> </w:t>
                  </w:r>
                </w:p>
              </w:tc>
              <w:tc>
                <w:tcPr>
                  <w:tcW w:w="7566" w:type="dxa"/>
                </w:tcPr>
                <w:p w14:paraId="0BC12C2F" w14:textId="77777777" w:rsidR="00362177" w:rsidRDefault="00000000" w:rsidP="006D637E">
                  <w:pPr>
                    <w:spacing w:after="0" w:line="240" w:lineRule="auto"/>
                  </w:pPr>
                  <w:r>
                    <w:rPr>
                      <w:highlight w:val="white"/>
                    </w:rPr>
                    <w:t>The student is ready to be guided by the good of the patient</w:t>
                  </w:r>
                </w:p>
              </w:tc>
            </w:tr>
            <w:tr w:rsidR="00362177" w:rsidRPr="009E3068" w14:paraId="303846C0" w14:textId="77777777">
              <w:tc>
                <w:tcPr>
                  <w:tcW w:w="721" w:type="dxa"/>
                </w:tcPr>
                <w:p w14:paraId="0C759BB7" w14:textId="77777777" w:rsidR="00362177" w:rsidRDefault="00000000" w:rsidP="006D637E">
                  <w:pPr>
                    <w:spacing w:after="0" w:line="240" w:lineRule="auto"/>
                  </w:pPr>
                  <w:r>
                    <w:rPr>
                      <w:b/>
                      <w:bCs/>
                      <w:highlight w:val="white"/>
                      <w:u w:val="single"/>
                    </w:rPr>
                    <w:t>K3</w:t>
                  </w:r>
                  <w:r>
                    <w:rPr>
                      <w:highlight w:val="white"/>
                    </w:rPr>
                    <w:t xml:space="preserve"> </w:t>
                  </w:r>
                </w:p>
              </w:tc>
              <w:tc>
                <w:tcPr>
                  <w:tcW w:w="7566" w:type="dxa"/>
                </w:tcPr>
                <w:p w14:paraId="16E37CD2" w14:textId="77777777" w:rsidR="00362177" w:rsidRPr="009E3068" w:rsidRDefault="00000000" w:rsidP="006D637E">
                  <w:pPr>
                    <w:spacing w:after="0" w:line="240" w:lineRule="auto"/>
                    <w:rPr>
                      <w:lang w:val="it-IT"/>
                    </w:rPr>
                  </w:pPr>
                  <w:r w:rsidRPr="009E3068">
                    <w:rPr>
                      <w:highlight w:val="white"/>
                      <w:lang w:val="it-IT"/>
                    </w:rPr>
                    <w:t>The student is ready to respect medical confidentiality and patient rights</w:t>
                  </w:r>
                </w:p>
              </w:tc>
            </w:tr>
            <w:tr w:rsidR="00362177" w14:paraId="6D021B0E" w14:textId="77777777">
              <w:tc>
                <w:tcPr>
                  <w:tcW w:w="721" w:type="dxa"/>
                </w:tcPr>
                <w:p w14:paraId="79FF1202" w14:textId="77777777" w:rsidR="00362177" w:rsidRDefault="00000000" w:rsidP="006D637E">
                  <w:pPr>
                    <w:spacing w:after="0" w:line="240" w:lineRule="auto"/>
                  </w:pPr>
                  <w:r>
                    <w:rPr>
                      <w:b/>
                      <w:bCs/>
                      <w:highlight w:val="white"/>
                      <w:u w:val="single"/>
                    </w:rPr>
                    <w:t>K4</w:t>
                  </w:r>
                  <w:r>
                    <w:rPr>
                      <w:highlight w:val="white"/>
                    </w:rPr>
                    <w:t xml:space="preserve"> </w:t>
                  </w:r>
                </w:p>
              </w:tc>
              <w:tc>
                <w:tcPr>
                  <w:tcW w:w="7566" w:type="dxa"/>
                </w:tcPr>
                <w:p w14:paraId="4962C3E6" w14:textId="77777777" w:rsidR="00362177" w:rsidRDefault="00000000" w:rsidP="006D637E">
                  <w:pPr>
                    <w:spacing w:after="0" w:line="240" w:lineRule="auto"/>
                  </w:pPr>
                  <w:r>
                    <w:rPr>
                      <w:highlight w:val="white"/>
                    </w:rPr>
                    <w:t>The student is ready to take action towards the patient based on ethical principles, with the awareness of social conditions and limitations resulting from the disease</w:t>
                  </w:r>
                </w:p>
              </w:tc>
            </w:tr>
            <w:tr w:rsidR="00362177" w:rsidRPr="009E3068" w14:paraId="62F6297B" w14:textId="77777777">
              <w:tc>
                <w:tcPr>
                  <w:tcW w:w="721" w:type="dxa"/>
                </w:tcPr>
                <w:p w14:paraId="04D4D363" w14:textId="77777777" w:rsidR="00362177" w:rsidRDefault="00000000" w:rsidP="006D637E">
                  <w:pPr>
                    <w:spacing w:after="0" w:line="240" w:lineRule="auto"/>
                  </w:pPr>
                  <w:r>
                    <w:rPr>
                      <w:b/>
                      <w:bCs/>
                      <w:highlight w:val="white"/>
                      <w:u w:val="single"/>
                    </w:rPr>
                    <w:t>K5</w:t>
                  </w:r>
                  <w:r>
                    <w:rPr>
                      <w:highlight w:val="white"/>
                    </w:rPr>
                    <w:t xml:space="preserve"> </w:t>
                  </w:r>
                </w:p>
              </w:tc>
              <w:tc>
                <w:tcPr>
                  <w:tcW w:w="7566" w:type="dxa"/>
                </w:tcPr>
                <w:p w14:paraId="73BE34A2" w14:textId="77777777" w:rsidR="00362177" w:rsidRPr="009E3068" w:rsidRDefault="00000000" w:rsidP="006D637E">
                  <w:pPr>
                    <w:spacing w:after="0" w:line="240" w:lineRule="auto"/>
                    <w:rPr>
                      <w:lang w:val="it-IT"/>
                    </w:rPr>
                  </w:pPr>
                  <w:r w:rsidRPr="009E3068">
                    <w:rPr>
                      <w:highlight w:val="white"/>
                      <w:lang w:val="it-IT"/>
                    </w:rPr>
                    <w:t>The student is ready to perceive and recognize his own limitations and to self-assess deficits and educational needs</w:t>
                  </w:r>
                </w:p>
              </w:tc>
            </w:tr>
          </w:tbl>
          <w:p w14:paraId="47A24A5D" w14:textId="77777777" w:rsidR="00362177" w:rsidRDefault="00362177">
            <w:pPr>
              <w:spacing w:after="0" w:line="240" w:lineRule="auto"/>
              <w:rPr>
                <w:sz w:val="24"/>
                <w:szCs w:val="24"/>
                <w:lang w:val="en-US"/>
              </w:rPr>
            </w:pPr>
          </w:p>
          <w:p w14:paraId="380BB537" w14:textId="77777777" w:rsidR="00362177" w:rsidRDefault="00000000">
            <w:pPr>
              <w:spacing w:after="0" w:line="240" w:lineRule="auto"/>
              <w:rPr>
                <w:b/>
                <w:bCs/>
                <w:lang w:val="en-US"/>
              </w:rPr>
            </w:pPr>
            <w:r>
              <w:rPr>
                <w:b/>
                <w:bCs/>
                <w:sz w:val="24"/>
                <w:szCs w:val="24"/>
                <w:lang w:val="en-US"/>
              </w:rPr>
              <w:t>TEACHING FORMS AND METHODS:</w:t>
            </w:r>
          </w:p>
          <w:tbl>
            <w:tblPr>
              <w:tblStyle w:val="Tabela-Siatka"/>
              <w:tblW w:w="5000" w:type="pct"/>
              <w:tblLook w:val="04A0" w:firstRow="1" w:lastRow="0" w:firstColumn="1" w:lastColumn="0" w:noHBand="0" w:noVBand="1"/>
            </w:tblPr>
            <w:tblGrid>
              <w:gridCol w:w="8288"/>
            </w:tblGrid>
            <w:tr w:rsidR="00362177" w14:paraId="28547B8E" w14:textId="77777777">
              <w:tc>
                <w:tcPr>
                  <w:tcW w:w="8159" w:type="dxa"/>
                  <w:tcBorders>
                    <w:top w:val="nil"/>
                    <w:left w:val="nil"/>
                    <w:bottom w:val="nil"/>
                    <w:right w:val="nil"/>
                  </w:tcBorders>
                </w:tcPr>
                <w:p w14:paraId="2784AFAE" w14:textId="43935E17" w:rsidR="00362177" w:rsidRDefault="00000000" w:rsidP="00112011">
                  <w:pPr>
                    <w:spacing w:after="0" w:line="240" w:lineRule="auto"/>
                  </w:pPr>
                  <w:r>
                    <w:t>Lecture-['W1', 'U1', 'K1', 'W2', 'U2', 'K2', 'W3', 'U3', 'K3', 'W4', 'U4', 'K4', 'U5', 'K5', 'U6']-Multimedia presentation</w:t>
                  </w:r>
                </w:p>
              </w:tc>
            </w:tr>
            <w:tr w:rsidR="00362177" w14:paraId="2096C0E8" w14:textId="77777777">
              <w:tc>
                <w:tcPr>
                  <w:tcW w:w="8159" w:type="dxa"/>
                  <w:tcBorders>
                    <w:top w:val="nil"/>
                    <w:left w:val="nil"/>
                    <w:bottom w:val="nil"/>
                    <w:right w:val="nil"/>
                  </w:tcBorders>
                </w:tcPr>
                <w:p w14:paraId="18A22CA0" w14:textId="77777777" w:rsidR="00362177" w:rsidRDefault="00000000" w:rsidP="00112011">
                  <w:pPr>
                    <w:spacing w:after="0" w:line="240" w:lineRule="auto"/>
                  </w:pPr>
                  <w:r>
                    <w:t>Seminar-['W1', 'U1', 'K1', 'W2', 'U2', 'K2', 'W3', 'U3', 'K3', 'W4', 'U4', 'K4', 'U5', 'K5', 'U6']-Discussion concerning pathophysiological background of signs and symptoms in internal medicine - relevant to the topics elaborated during the semester</w:t>
                  </w:r>
                </w:p>
              </w:tc>
            </w:tr>
          </w:tbl>
          <w:p w14:paraId="04B217B1" w14:textId="77777777" w:rsidR="00362177" w:rsidRDefault="00362177">
            <w:pPr>
              <w:spacing w:after="0" w:line="240" w:lineRule="auto"/>
            </w:pPr>
          </w:p>
          <w:p w14:paraId="3F439A2C" w14:textId="77777777" w:rsidR="00362177" w:rsidRPr="009E3068" w:rsidRDefault="00000000">
            <w:pPr>
              <w:spacing w:after="0" w:line="240" w:lineRule="auto"/>
              <w:rPr>
                <w:lang w:val="it-IT"/>
              </w:rPr>
            </w:pPr>
            <w:r w:rsidRPr="009E3068">
              <w:rPr>
                <w:b/>
                <w:bCs/>
                <w:sz w:val="24"/>
                <w:szCs w:val="24"/>
                <w:lang w:val="it-IT"/>
              </w:rPr>
              <w:t>FORM AND CONDITIONS OF VERIFYING LEARNING OUTCOMES:</w:t>
            </w:r>
          </w:p>
          <w:tbl>
            <w:tblPr>
              <w:tblStyle w:val="Tabela-Siatka"/>
              <w:tblW w:w="5000" w:type="pct"/>
              <w:tblLook w:val="04A0" w:firstRow="1" w:lastRow="0" w:firstColumn="1" w:lastColumn="0" w:noHBand="0" w:noVBand="1"/>
            </w:tblPr>
            <w:tblGrid>
              <w:gridCol w:w="8288"/>
            </w:tblGrid>
            <w:tr w:rsidR="00362177" w:rsidRPr="009E3068" w14:paraId="78F968BA" w14:textId="77777777">
              <w:tc>
                <w:tcPr>
                  <w:tcW w:w="8159" w:type="dxa"/>
                  <w:tcBorders>
                    <w:top w:val="nil"/>
                    <w:left w:val="nil"/>
                    <w:bottom w:val="nil"/>
                    <w:right w:val="nil"/>
                  </w:tcBorders>
                </w:tcPr>
                <w:p w14:paraId="40362A16" w14:textId="77777777" w:rsidR="00362177" w:rsidRPr="009E3068" w:rsidRDefault="00000000" w:rsidP="00112011">
                  <w:pPr>
                    <w:spacing w:after="0" w:line="240" w:lineRule="auto"/>
                    <w:rPr>
                      <w:lang w:val="it-IT"/>
                    </w:rPr>
                  </w:pPr>
                  <w:r w:rsidRPr="009E3068">
                    <w:rPr>
                      <w:lang w:val="it-IT"/>
                    </w:rPr>
                    <w:lastRenderedPageBreak/>
                    <w:t>Lecture-(Evaluation of the work and cooperation in the group)-['W1', 'U1', 'K1', 'W2', 'U2', 'K2', 'W3', 'U3', 'K3', 'W4', 'U4', 'K4', 'U5', 'K5', 'U6']-Grading based on attendance and activity</w:t>
                  </w:r>
                </w:p>
              </w:tc>
            </w:tr>
            <w:tr w:rsidR="00362177" w14:paraId="2AC70CC9" w14:textId="77777777">
              <w:tc>
                <w:tcPr>
                  <w:tcW w:w="8159" w:type="dxa"/>
                  <w:tcBorders>
                    <w:top w:val="nil"/>
                    <w:left w:val="nil"/>
                    <w:bottom w:val="nil"/>
                    <w:right w:val="nil"/>
                  </w:tcBorders>
                </w:tcPr>
                <w:p w14:paraId="52734265" w14:textId="77777777" w:rsidR="00362177" w:rsidRDefault="00000000" w:rsidP="00112011">
                  <w:pPr>
                    <w:spacing w:after="0" w:line="240" w:lineRule="auto"/>
                  </w:pPr>
                  <w:proofErr w:type="spellStart"/>
                  <w:r>
                    <w:t>Seminar</w:t>
                  </w:r>
                  <w:proofErr w:type="spellEnd"/>
                  <w:r>
                    <w:t xml:space="preserve">-(Evaluation of the </w:t>
                  </w:r>
                  <w:proofErr w:type="spellStart"/>
                  <w:r>
                    <w:t>work</w:t>
                  </w:r>
                  <w:proofErr w:type="spellEnd"/>
                  <w:r>
                    <w:t xml:space="preserve"> and cooperation in the group)-['W1', 'U1', 'K1', 'W2', 'U2', 'K2', 'W3', 'U3', 'K3', 'W4', 'U4', 'K4', 'U5', 'K5', 'U6']-Grading based on attendance and activity</w:t>
                  </w:r>
                </w:p>
              </w:tc>
            </w:tr>
          </w:tbl>
          <w:p w14:paraId="44532CEF" w14:textId="77777777" w:rsidR="00362177" w:rsidRDefault="00362177">
            <w:pPr>
              <w:spacing w:after="0" w:line="240" w:lineRule="auto"/>
              <w:rPr>
                <w:b/>
                <w:bCs/>
                <w:sz w:val="24"/>
                <w:szCs w:val="24"/>
              </w:rPr>
            </w:pPr>
          </w:p>
          <w:p w14:paraId="45EFB2CD" w14:textId="77777777" w:rsidR="00362177" w:rsidRDefault="00000000">
            <w:pPr>
              <w:spacing w:after="0" w:line="240" w:lineRule="auto"/>
              <w:rPr>
                <w:b/>
                <w:bCs/>
                <w:sz w:val="24"/>
                <w:szCs w:val="24"/>
              </w:rPr>
            </w:pPr>
            <w:proofErr w:type="spellStart"/>
            <w:r>
              <w:rPr>
                <w:b/>
                <w:bCs/>
                <w:sz w:val="24"/>
                <w:szCs w:val="24"/>
              </w:rPr>
              <w:t>Literature</w:t>
            </w:r>
            <w:proofErr w:type="spellEnd"/>
            <w:r>
              <w:rPr>
                <w:b/>
                <w:bCs/>
                <w:sz w:val="24"/>
                <w:szCs w:val="24"/>
              </w:rPr>
              <w:t>:</w:t>
            </w:r>
          </w:p>
          <w:tbl>
            <w:tblPr>
              <w:tblW w:w="8284" w:type="dxa"/>
              <w:tblLook w:val="04A0" w:firstRow="1" w:lastRow="0" w:firstColumn="1" w:lastColumn="0" w:noHBand="0" w:noVBand="1"/>
            </w:tblPr>
            <w:tblGrid>
              <w:gridCol w:w="8284"/>
            </w:tblGrid>
            <w:tr w:rsidR="00362177" w:rsidRPr="009E3068" w14:paraId="71120F43" w14:textId="77777777">
              <w:tc>
                <w:tcPr>
                  <w:tcW w:w="8284" w:type="dxa"/>
                </w:tcPr>
                <w:p w14:paraId="5A790DC4" w14:textId="77777777" w:rsidR="00362177" w:rsidRPr="009E3068" w:rsidRDefault="00000000">
                  <w:pPr>
                    <w:pStyle w:val="TableContents"/>
                    <w:rPr>
                      <w:lang w:val="it-IT"/>
                    </w:rPr>
                  </w:pPr>
                  <w:r w:rsidRPr="009E3068">
                    <w:rPr>
                      <w:lang w:val="it-IT"/>
                    </w:rPr>
                    <w:t xml:space="preserve">1.  </w:t>
                  </w:r>
                  <w:r w:rsidRPr="009E3068">
                    <w:rPr>
                      <w:b/>
                      <w:bCs/>
                      <w:i/>
                      <w:iCs/>
                      <w:lang w:val="it-IT"/>
                    </w:rPr>
                    <w:t>Differential Diagnosis in Internal Medicine</w:t>
                  </w:r>
                  <w:r w:rsidRPr="009E3068">
                    <w:rPr>
                      <w:lang w:val="it-IT"/>
                    </w:rPr>
                    <w:t xml:space="preserve">, Siegenthaler W.,  Thieme, 2011, Strony: , Tom:  (literatura podstawowa) </w:t>
                  </w:r>
                </w:p>
              </w:tc>
            </w:tr>
            <w:tr w:rsidR="00362177" w14:paraId="57375F2E" w14:textId="77777777">
              <w:tc>
                <w:tcPr>
                  <w:tcW w:w="8284" w:type="dxa"/>
                </w:tcPr>
                <w:p w14:paraId="31424AAB" w14:textId="77777777" w:rsidR="00362177" w:rsidRDefault="00000000">
                  <w:pPr>
                    <w:pStyle w:val="TableContents"/>
                  </w:pPr>
                  <w:r>
                    <w:t xml:space="preserve">2.  </w:t>
                  </w:r>
                  <w:r>
                    <w:rPr>
                      <w:b/>
                      <w:bCs/>
                      <w:i/>
                      <w:iCs/>
                    </w:rPr>
                    <w:t>Clinical medicine</w:t>
                  </w:r>
                  <w:r>
                    <w:t xml:space="preserve">, Kumar  Clarks,  Saunders – Elsevier, 2009, Strony: , Tom:  (literatura podstawowa) </w:t>
                  </w:r>
                </w:p>
              </w:tc>
            </w:tr>
            <w:tr w:rsidR="00362177" w14:paraId="1F8E2853" w14:textId="77777777">
              <w:tc>
                <w:tcPr>
                  <w:tcW w:w="8284" w:type="dxa"/>
                </w:tcPr>
                <w:p w14:paraId="024B587B" w14:textId="77777777" w:rsidR="00362177" w:rsidRDefault="00000000">
                  <w:pPr>
                    <w:pStyle w:val="TableContents"/>
                  </w:pPr>
                  <w:r>
                    <w:t xml:space="preserve">3.  </w:t>
                  </w:r>
                  <w:r>
                    <w:rPr>
                      <w:b/>
                      <w:bCs/>
                      <w:i/>
                      <w:iCs/>
                    </w:rPr>
                    <w:t>Davidson’s Principles  Practice of Medicine</w:t>
                  </w:r>
                  <w:r>
                    <w:t xml:space="preserve">, Boone N.A., Colledge N.R – Editors,  Churchill Livingstone – Elsevier, 2010, Strony: , Tom:  (literatura podstawowa) </w:t>
                  </w:r>
                </w:p>
              </w:tc>
            </w:tr>
            <w:tr w:rsidR="00362177" w14:paraId="414AA067" w14:textId="77777777">
              <w:tc>
                <w:tcPr>
                  <w:tcW w:w="8284" w:type="dxa"/>
                </w:tcPr>
                <w:p w14:paraId="2BADB021" w14:textId="77777777" w:rsidR="00362177" w:rsidRDefault="00000000">
                  <w:pPr>
                    <w:pStyle w:val="TableContents"/>
                  </w:pPr>
                  <w:r>
                    <w:t xml:space="preserve">4.  </w:t>
                  </w:r>
                  <w:r>
                    <w:rPr>
                      <w:b/>
                      <w:bCs/>
                      <w:i/>
                      <w:iCs/>
                    </w:rPr>
                    <w:t>MD - Goldman's Cecil Medicine</w:t>
                  </w:r>
                  <w:r>
                    <w:t xml:space="preserve">, Lee Goldman, MD and Andrew I. Schafer,  Saunders, 2012, Strony: , Tom: (literatura uzupełniająca) </w:t>
                  </w:r>
                </w:p>
              </w:tc>
            </w:tr>
          </w:tbl>
          <w:p w14:paraId="19F2BCE6" w14:textId="77777777" w:rsidR="00362177" w:rsidRDefault="00362177">
            <w:pPr>
              <w:spacing w:after="0" w:line="240" w:lineRule="auto"/>
              <w:rPr>
                <w:sz w:val="24"/>
                <w:szCs w:val="24"/>
              </w:rPr>
            </w:pPr>
          </w:p>
          <w:p w14:paraId="10457097" w14:textId="77777777" w:rsidR="00362177" w:rsidRDefault="00362177">
            <w:pPr>
              <w:spacing w:after="0" w:line="240" w:lineRule="auto"/>
              <w:rPr>
                <w:sz w:val="24"/>
                <w:szCs w:val="24"/>
              </w:rPr>
            </w:pPr>
          </w:p>
          <w:p w14:paraId="52FD0AB3" w14:textId="77777777" w:rsidR="00362177" w:rsidRDefault="00362177">
            <w:pPr>
              <w:spacing w:after="0" w:line="240" w:lineRule="auto"/>
              <w:rPr>
                <w:sz w:val="24"/>
                <w:szCs w:val="24"/>
              </w:rPr>
            </w:pPr>
          </w:p>
          <w:p w14:paraId="5090578F" w14:textId="77777777" w:rsidR="00362177" w:rsidRDefault="00362177">
            <w:pPr>
              <w:spacing w:after="0" w:line="240" w:lineRule="auto"/>
              <w:rPr>
                <w:sz w:val="24"/>
                <w:szCs w:val="24"/>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4C7BDD51" w14:textId="77777777" w:rsidR="00362177" w:rsidRDefault="00362177">
            <w:pPr>
              <w:spacing w:after="0" w:line="240" w:lineRule="auto"/>
              <w:rPr>
                <w:b/>
                <w:bCs/>
                <w:sz w:val="16"/>
                <w:szCs w:val="16"/>
              </w:rPr>
            </w:pPr>
          </w:p>
          <w:tbl>
            <w:tblPr>
              <w:tblStyle w:val="Tabela-Siatka"/>
              <w:tblW w:w="5000" w:type="pct"/>
              <w:tblLook w:val="04A0" w:firstRow="1" w:lastRow="0" w:firstColumn="1" w:lastColumn="0" w:noHBand="0" w:noVBand="1"/>
            </w:tblPr>
            <w:tblGrid>
              <w:gridCol w:w="2688"/>
            </w:tblGrid>
            <w:tr w:rsidR="00362177" w14:paraId="39BAB5FE" w14:textId="77777777">
              <w:trPr>
                <w:trHeight w:val="3513"/>
              </w:trPr>
              <w:tc>
                <w:tcPr>
                  <w:tcW w:w="2817" w:type="dxa"/>
                  <w:tcBorders>
                    <w:top w:val="nil"/>
                    <w:left w:val="nil"/>
                    <w:bottom w:val="nil"/>
                    <w:right w:val="nil"/>
                  </w:tcBorders>
                  <w:shd w:val="clear" w:color="auto" w:fill="F2F2F2" w:themeFill="background1" w:themeFillShade="F2"/>
                </w:tcPr>
                <w:p w14:paraId="46E65A7F" w14:textId="77777777" w:rsidR="00362177" w:rsidRPr="009E3068" w:rsidRDefault="00000000">
                  <w:pPr>
                    <w:spacing w:after="0" w:line="240" w:lineRule="auto"/>
                    <w:rPr>
                      <w:b/>
                      <w:bCs/>
                      <w:sz w:val="16"/>
                      <w:szCs w:val="16"/>
                      <w:lang w:val="it-IT"/>
                    </w:rPr>
                  </w:pPr>
                  <w:r>
                    <w:rPr>
                      <w:b/>
                      <w:bCs/>
                      <w:sz w:val="16"/>
                      <w:szCs w:val="16"/>
                      <w:lang w:val="en-US"/>
                    </w:rPr>
                    <w:t>Legal acts specifying learning outcomes:</w:t>
                  </w:r>
                  <w:r>
                    <w:rPr>
                      <w:sz w:val="16"/>
                      <w:szCs w:val="16"/>
                      <w:lang w:val="en-US"/>
                    </w:rPr>
                    <w:t xml:space="preserve"> </w:t>
                  </w:r>
                </w:p>
                <w:p w14:paraId="0E2A8D76" w14:textId="77777777" w:rsidR="00362177" w:rsidRPr="009E3068" w:rsidRDefault="00000000">
                  <w:pPr>
                    <w:spacing w:after="0" w:line="240" w:lineRule="auto"/>
                    <w:rPr>
                      <w:b/>
                      <w:bCs/>
                      <w:sz w:val="16"/>
                      <w:szCs w:val="16"/>
                      <w:lang w:val="it-IT"/>
                    </w:rPr>
                  </w:pPr>
                  <w:r>
                    <w:rPr>
                      <w:b/>
                      <w:bCs/>
                      <w:sz w:val="16"/>
                      <w:szCs w:val="16"/>
                      <w:lang w:val="en-US"/>
                    </w:rPr>
                    <w:t>Status of the course:</w:t>
                  </w:r>
                  <w:r w:rsidRPr="009E3068">
                    <w:rPr>
                      <w:b/>
                      <w:bCs/>
                      <w:sz w:val="16"/>
                      <w:szCs w:val="16"/>
                      <w:lang w:val="it-IT"/>
                    </w:rPr>
                    <w:t xml:space="preserve"> </w:t>
                  </w:r>
                  <w:r>
                    <w:rPr>
                      <w:sz w:val="16"/>
                      <w:szCs w:val="16"/>
                      <w:lang w:val="en-US"/>
                    </w:rPr>
                    <w:t>None</w:t>
                  </w:r>
                </w:p>
                <w:p w14:paraId="11819ABF" w14:textId="77777777" w:rsidR="00362177" w:rsidRPr="009E3068" w:rsidRDefault="00000000">
                  <w:pPr>
                    <w:spacing w:after="0" w:line="240" w:lineRule="auto"/>
                    <w:rPr>
                      <w:b/>
                      <w:bCs/>
                      <w:sz w:val="16"/>
                      <w:szCs w:val="16"/>
                      <w:lang w:val="it-IT"/>
                    </w:rPr>
                  </w:pPr>
                  <w:r>
                    <w:rPr>
                      <w:b/>
                      <w:bCs/>
                      <w:sz w:val="16"/>
                      <w:szCs w:val="16"/>
                      <w:lang w:val="en-US"/>
                    </w:rPr>
                    <w:t xml:space="preserve">Group of </w:t>
                  </w:r>
                  <w:proofErr w:type="spellStart"/>
                  <w:r>
                    <w:rPr>
                      <w:b/>
                      <w:bCs/>
                      <w:sz w:val="16"/>
                      <w:szCs w:val="16"/>
                      <w:lang w:val="en-US"/>
                    </w:rPr>
                    <w:t>courses:</w:t>
                  </w:r>
                  <w:r>
                    <w:rPr>
                      <w:sz w:val="16"/>
                      <w:szCs w:val="16"/>
                      <w:lang w:val="en-US"/>
                    </w:rPr>
                    <w:t>None</w:t>
                  </w:r>
                  <w:proofErr w:type="spellEnd"/>
                </w:p>
                <w:p w14:paraId="341A51AD" w14:textId="77777777" w:rsidR="00362177" w:rsidRDefault="00000000">
                  <w:pPr>
                    <w:spacing w:after="0" w:line="240" w:lineRule="auto"/>
                    <w:rPr>
                      <w:sz w:val="16"/>
                      <w:szCs w:val="16"/>
                      <w:lang w:val="en-US"/>
                    </w:rPr>
                  </w:pPr>
                  <w:r w:rsidRPr="009E3068">
                    <w:rPr>
                      <w:b/>
                      <w:bCs/>
                      <w:sz w:val="16"/>
                      <w:szCs w:val="16"/>
                      <w:lang w:val="it-IT"/>
                    </w:rPr>
                    <w:t>Discipline</w:t>
                  </w:r>
                  <w:r>
                    <w:rPr>
                      <w:sz w:val="16"/>
                      <w:szCs w:val="16"/>
                      <w:lang w:val="en-US"/>
                    </w:rPr>
                    <w:t>: Medicine</w:t>
                  </w:r>
                </w:p>
                <w:p w14:paraId="6859F4A8" w14:textId="33A8759E" w:rsidR="00083A63" w:rsidRPr="00F65F4A" w:rsidRDefault="00083A63" w:rsidP="00083A63">
                  <w:pPr>
                    <w:spacing w:after="0" w:line="240" w:lineRule="auto"/>
                    <w:rPr>
                      <w:b/>
                      <w:bCs/>
                      <w:sz w:val="16"/>
                      <w:szCs w:val="16"/>
                      <w:lang w:val="en-US"/>
                    </w:rPr>
                  </w:pPr>
                  <w:r>
                    <w:rPr>
                      <w:b/>
                      <w:bCs/>
                      <w:sz w:val="16"/>
                      <w:szCs w:val="16"/>
                      <w:lang w:val="en-US"/>
                    </w:rPr>
                    <w:t>Classes</w:t>
                  </w:r>
                  <w:r w:rsidRPr="009D56FA">
                    <w:rPr>
                      <w:b/>
                      <w:bCs/>
                      <w:sz w:val="16"/>
                      <w:szCs w:val="16"/>
                      <w:lang w:val="en-US"/>
                    </w:rPr>
                    <w:t>:</w:t>
                  </w:r>
                  <w:r w:rsidRPr="009E3068">
                    <w:rPr>
                      <w:sz w:val="16"/>
                      <w:szCs w:val="16"/>
                      <w:lang w:val="it-IT"/>
                    </w:rPr>
                    <w:t xml:space="preserve">  </w:t>
                  </w:r>
                </w:p>
                <w:p w14:paraId="7C8DD60F" w14:textId="3626B563" w:rsidR="00083A63" w:rsidRPr="009E3068" w:rsidRDefault="00083A63">
                  <w:pPr>
                    <w:spacing w:after="0" w:line="240" w:lineRule="auto"/>
                    <w:rPr>
                      <w:sz w:val="16"/>
                      <w:szCs w:val="16"/>
                      <w:lang w:val="it-IT"/>
                    </w:rPr>
                  </w:pPr>
                  <w:r w:rsidRPr="009E3068">
                    <w:rPr>
                      <w:sz w:val="16"/>
                      <w:szCs w:val="16"/>
                      <w:lang w:val="it-IT"/>
                    </w:rPr>
                    <w:t>Lecture (13 h)  </w:t>
                  </w:r>
                </w:p>
                <w:p w14:paraId="66F87505" w14:textId="77777777" w:rsidR="00083A63" w:rsidRPr="00083A63" w:rsidRDefault="00083A63">
                  <w:pPr>
                    <w:spacing w:after="0" w:line="240" w:lineRule="auto"/>
                    <w:rPr>
                      <w:sz w:val="16"/>
                      <w:szCs w:val="16"/>
                    </w:rPr>
                  </w:pPr>
                  <w:proofErr w:type="spellStart"/>
                  <w:r w:rsidRPr="00F65F4A">
                    <w:rPr>
                      <w:sz w:val="16"/>
                      <w:szCs w:val="16"/>
                    </w:rPr>
                    <w:t>Seminar</w:t>
                  </w:r>
                  <w:proofErr w:type="spellEnd"/>
                  <w:r>
                    <w:rPr>
                      <w:sz w:val="16"/>
                      <w:szCs w:val="16"/>
                    </w:rPr>
                    <w:t xml:space="preserve"> (</w:t>
                  </w:r>
                  <w:r w:rsidRPr="00F65F4A">
                    <w:rPr>
                      <w:sz w:val="16"/>
                      <w:szCs w:val="16"/>
                    </w:rPr>
                    <w:t>28 h</w:t>
                  </w:r>
                  <w:r>
                    <w:rPr>
                      <w:sz w:val="16"/>
                      <w:szCs w:val="16"/>
                    </w:rPr>
                    <w:t>)</w:t>
                  </w:r>
                </w:p>
                <w:p w14:paraId="70BC2DD7" w14:textId="77777777" w:rsidR="00362177" w:rsidRDefault="00000000">
                  <w:pPr>
                    <w:spacing w:after="0" w:line="240" w:lineRule="auto"/>
                    <w:rPr>
                      <w:sz w:val="16"/>
                      <w:szCs w:val="16"/>
                      <w:lang w:val="en-US"/>
                    </w:rPr>
                  </w:pPr>
                  <w:r>
                    <w:rPr>
                      <w:b/>
                      <w:bCs/>
                      <w:sz w:val="16"/>
                      <w:szCs w:val="16"/>
                      <w:lang w:val="en-US"/>
                    </w:rPr>
                    <w:t>Step</w:t>
                  </w:r>
                  <w:r>
                    <w:rPr>
                      <w:sz w:val="16"/>
                      <w:szCs w:val="16"/>
                      <w:lang w:val="en-US"/>
                    </w:rPr>
                    <w:t>: Kierunek lekarski piąty rok semestr dziesiąty (oferta w jęz. angielskim dla obcokrajowców)</w:t>
                  </w:r>
                </w:p>
                <w:p w14:paraId="7E3782B1" w14:textId="77777777" w:rsidR="00362177" w:rsidRPr="009E3068" w:rsidRDefault="00000000">
                  <w:pPr>
                    <w:spacing w:after="0" w:line="240" w:lineRule="auto"/>
                    <w:rPr>
                      <w:lang w:val="it-IT"/>
                    </w:rPr>
                  </w:pPr>
                  <w:r w:rsidRPr="009E3068">
                    <w:rPr>
                      <w:b/>
                      <w:bCs/>
                      <w:sz w:val="16"/>
                      <w:szCs w:val="16"/>
                      <w:lang w:val="it-IT"/>
                    </w:rPr>
                    <w:t xml:space="preserve">Program:  </w:t>
                  </w:r>
                  <w:r>
                    <w:rPr>
                      <w:sz w:val="16"/>
                      <w:szCs w:val="16"/>
                      <w:lang w:val="en-US"/>
                    </w:rPr>
                    <w:t>Medicine</w:t>
                  </w:r>
                </w:p>
                <w:p w14:paraId="329DCE97" w14:textId="77777777" w:rsidR="00362177" w:rsidRPr="009E3068" w:rsidRDefault="00000000">
                  <w:pPr>
                    <w:spacing w:after="0" w:line="240" w:lineRule="auto"/>
                    <w:rPr>
                      <w:lang w:val="it-IT"/>
                    </w:rPr>
                  </w:pPr>
                  <w:r>
                    <w:rPr>
                      <w:b/>
                      <w:bCs/>
                      <w:sz w:val="16"/>
                      <w:szCs w:val="16"/>
                      <w:lang w:val="en-US"/>
                    </w:rPr>
                    <w:t xml:space="preserve">Form of </w:t>
                  </w:r>
                  <w:proofErr w:type="spellStart"/>
                  <w:r>
                    <w:rPr>
                      <w:b/>
                      <w:bCs/>
                      <w:sz w:val="16"/>
                      <w:szCs w:val="16"/>
                      <w:lang w:val="en-US"/>
                    </w:rPr>
                    <w:t>studies:</w:t>
                  </w:r>
                  <w:r>
                    <w:rPr>
                      <w:sz w:val="16"/>
                      <w:szCs w:val="16"/>
                      <w:lang w:val="en-US"/>
                    </w:rPr>
                    <w:t>full-time</w:t>
                  </w:r>
                  <w:proofErr w:type="spellEnd"/>
                </w:p>
                <w:p w14:paraId="6B0B4E4B" w14:textId="77777777" w:rsidR="00362177" w:rsidRDefault="00000000">
                  <w:pPr>
                    <w:spacing w:after="0" w:line="240" w:lineRule="auto"/>
                  </w:pPr>
                  <w:r>
                    <w:rPr>
                      <w:b/>
                      <w:bCs/>
                      <w:sz w:val="16"/>
                      <w:szCs w:val="16"/>
                    </w:rPr>
                    <w:t xml:space="preserve">Level of </w:t>
                  </w:r>
                  <w:proofErr w:type="spellStart"/>
                  <w:r>
                    <w:rPr>
                      <w:b/>
                      <w:bCs/>
                      <w:sz w:val="16"/>
                      <w:szCs w:val="16"/>
                    </w:rPr>
                    <w:t>studies</w:t>
                  </w:r>
                  <w:proofErr w:type="spellEnd"/>
                  <w:r>
                    <w:rPr>
                      <w:b/>
                      <w:bCs/>
                      <w:sz w:val="16"/>
                      <w:szCs w:val="16"/>
                    </w:rPr>
                    <w:t xml:space="preserve">: </w:t>
                  </w:r>
                  <w:r>
                    <w:rPr>
                      <w:sz w:val="16"/>
                      <w:szCs w:val="16"/>
                      <w:lang w:val="en-US"/>
                    </w:rPr>
                    <w:t>uniform master's studies</w:t>
                  </w:r>
                </w:p>
                <w:p w14:paraId="2BC7927A" w14:textId="77777777" w:rsidR="00362177" w:rsidRDefault="00362177">
                  <w:pPr>
                    <w:spacing w:after="0" w:line="240" w:lineRule="auto"/>
                    <w:rPr>
                      <w:sz w:val="16"/>
                      <w:szCs w:val="16"/>
                      <w:lang w:val="en-US"/>
                    </w:rPr>
                  </w:pPr>
                </w:p>
                <w:p w14:paraId="224B1648" w14:textId="77777777" w:rsidR="00362177" w:rsidRDefault="00362177">
                  <w:pPr>
                    <w:spacing w:after="0" w:line="240" w:lineRule="auto"/>
                    <w:rPr>
                      <w:sz w:val="16"/>
                      <w:szCs w:val="16"/>
                      <w:lang w:val="en-US"/>
                    </w:rPr>
                  </w:pPr>
                </w:p>
                <w:p w14:paraId="35A29855" w14:textId="77777777" w:rsidR="00362177" w:rsidRDefault="00362177">
                  <w:pPr>
                    <w:spacing w:after="0" w:line="240" w:lineRule="auto"/>
                    <w:rPr>
                      <w:sz w:val="16"/>
                      <w:szCs w:val="16"/>
                      <w:lang w:val="en-US"/>
                    </w:rPr>
                  </w:pPr>
                </w:p>
              </w:tc>
            </w:tr>
          </w:tbl>
          <w:p w14:paraId="4AE4A531" w14:textId="77777777" w:rsidR="00362177" w:rsidRDefault="0036217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362177" w:rsidRPr="009E3068" w14:paraId="1929CD03" w14:textId="77777777">
              <w:trPr>
                <w:trHeight w:val="1625"/>
              </w:trPr>
              <w:tc>
                <w:tcPr>
                  <w:tcW w:w="2817" w:type="dxa"/>
                  <w:tcBorders>
                    <w:top w:val="nil"/>
                    <w:left w:val="nil"/>
                    <w:bottom w:val="nil"/>
                    <w:right w:val="nil"/>
                  </w:tcBorders>
                  <w:shd w:val="clear" w:color="auto" w:fill="F2F2F2" w:themeFill="background1" w:themeFillShade="F2"/>
                </w:tcPr>
                <w:p w14:paraId="40A2336D" w14:textId="77777777" w:rsidR="00362177" w:rsidRDefault="00362177">
                  <w:pPr>
                    <w:spacing w:after="0" w:line="240" w:lineRule="auto"/>
                    <w:rPr>
                      <w:b/>
                      <w:bCs/>
                      <w:sz w:val="16"/>
                      <w:szCs w:val="16"/>
                      <w:lang w:val="en-US"/>
                    </w:rPr>
                  </w:pPr>
                </w:p>
                <w:p w14:paraId="299BA248" w14:textId="77777777" w:rsidR="00362177"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anatomy, physiology</w:t>
                  </w:r>
                </w:p>
                <w:p w14:paraId="52AD7B26" w14:textId="77777777" w:rsidR="00362177" w:rsidRDefault="00362177">
                  <w:pPr>
                    <w:spacing w:after="0" w:line="240" w:lineRule="auto"/>
                    <w:rPr>
                      <w:b/>
                      <w:bCs/>
                      <w:sz w:val="16"/>
                      <w:szCs w:val="16"/>
                      <w:lang w:val="en-US"/>
                    </w:rPr>
                  </w:pPr>
                </w:p>
                <w:p w14:paraId="645A3639" w14:textId="77777777" w:rsidR="00362177" w:rsidRDefault="00000000">
                  <w:pPr>
                    <w:spacing w:after="0" w:line="240" w:lineRule="auto"/>
                    <w:rPr>
                      <w:b/>
                      <w:bCs/>
                      <w:sz w:val="16"/>
                      <w:szCs w:val="16"/>
                      <w:lang w:val="en-US"/>
                    </w:rPr>
                  </w:pPr>
                  <w:r>
                    <w:rPr>
                      <w:b/>
                      <w:bCs/>
                      <w:sz w:val="16"/>
                      <w:szCs w:val="16"/>
                      <w:lang w:val="en-US"/>
                    </w:rPr>
                    <w:t xml:space="preserve">Prerequisites: </w:t>
                  </w:r>
                  <w:r>
                    <w:rPr>
                      <w:sz w:val="16"/>
                      <w:szCs w:val="16"/>
                      <w:lang w:val="en-US"/>
                    </w:rPr>
                    <w:t>knowledge about physiology and human anatomy</w:t>
                  </w:r>
                </w:p>
                <w:p w14:paraId="73DF053E" w14:textId="77777777" w:rsidR="00362177" w:rsidRDefault="00362177">
                  <w:pPr>
                    <w:spacing w:after="0" w:line="240" w:lineRule="auto"/>
                    <w:rPr>
                      <w:b/>
                      <w:bCs/>
                      <w:sz w:val="16"/>
                      <w:szCs w:val="16"/>
                      <w:lang w:val="en-US"/>
                    </w:rPr>
                  </w:pPr>
                </w:p>
                <w:p w14:paraId="4DD901E0" w14:textId="77777777" w:rsidR="00362177" w:rsidRDefault="00362177">
                  <w:pPr>
                    <w:spacing w:after="0" w:line="240" w:lineRule="auto"/>
                    <w:rPr>
                      <w:b/>
                      <w:bCs/>
                      <w:sz w:val="16"/>
                      <w:szCs w:val="16"/>
                      <w:lang w:val="en-US"/>
                    </w:rPr>
                  </w:pPr>
                </w:p>
              </w:tc>
            </w:tr>
          </w:tbl>
          <w:p w14:paraId="73AAAF5F" w14:textId="77777777" w:rsidR="00362177" w:rsidRDefault="0036217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88"/>
            </w:tblGrid>
            <w:tr w:rsidR="00362177" w14:paraId="22EA0999" w14:textId="77777777">
              <w:trPr>
                <w:trHeight w:val="988"/>
              </w:trPr>
              <w:tc>
                <w:tcPr>
                  <w:tcW w:w="2817" w:type="dxa"/>
                  <w:tcBorders>
                    <w:top w:val="nil"/>
                    <w:left w:val="nil"/>
                    <w:bottom w:val="nil"/>
                    <w:right w:val="nil"/>
                  </w:tcBorders>
                  <w:shd w:val="clear" w:color="auto" w:fill="F2F2F2" w:themeFill="background1" w:themeFillShade="F2"/>
                </w:tcPr>
                <w:p w14:paraId="7616D40F" w14:textId="77777777" w:rsidR="00362177" w:rsidRDefault="00000000">
                  <w:pPr>
                    <w:spacing w:after="0" w:line="240" w:lineRule="auto"/>
                    <w:rPr>
                      <w:b/>
                      <w:bCs/>
                      <w:sz w:val="16"/>
                      <w:szCs w:val="16"/>
                      <w:lang w:val="en-US"/>
                    </w:rPr>
                  </w:pPr>
                  <w:r>
                    <w:rPr>
                      <w:b/>
                      <w:bCs/>
                      <w:sz w:val="16"/>
                      <w:szCs w:val="16"/>
                      <w:lang w:val="en-US"/>
                    </w:rPr>
                    <w:t>Coordinators:</w:t>
                  </w:r>
                </w:p>
                <w:p w14:paraId="64D229B9" w14:textId="77777777" w:rsidR="00362177" w:rsidRDefault="00362177">
                  <w:pPr>
                    <w:spacing w:after="0" w:line="240" w:lineRule="auto"/>
                    <w:rPr>
                      <w:b/>
                      <w:bCs/>
                      <w:sz w:val="16"/>
                      <w:szCs w:val="16"/>
                      <w:lang w:val="en-US"/>
                    </w:rPr>
                  </w:pPr>
                </w:p>
                <w:p w14:paraId="6D979C29" w14:textId="77777777" w:rsidR="00362177" w:rsidRDefault="00000000">
                  <w:pPr>
                    <w:spacing w:after="0" w:line="240" w:lineRule="auto"/>
                    <w:rPr>
                      <w:b/>
                      <w:bCs/>
                      <w:sz w:val="16"/>
                      <w:szCs w:val="16"/>
                      <w:lang w:val="en-US"/>
                    </w:rPr>
                  </w:pPr>
                  <w:r>
                    <w:rPr>
                      <w:b/>
                      <w:bCs/>
                      <w:sz w:val="16"/>
                      <w:szCs w:val="16"/>
                      <w:lang w:val="en-US"/>
                    </w:rPr>
                    <w:t>Piotr Cygański, piotr.cyganski@uwm.edu.pl</w:t>
                  </w:r>
                </w:p>
                <w:p w14:paraId="6C4EB7B2" w14:textId="77777777" w:rsidR="00362177" w:rsidRDefault="00362177">
                  <w:pPr>
                    <w:spacing w:after="0" w:line="240" w:lineRule="auto"/>
                    <w:rPr>
                      <w:b/>
                      <w:bCs/>
                      <w:sz w:val="16"/>
                      <w:szCs w:val="16"/>
                      <w:lang w:val="en-US"/>
                    </w:rPr>
                  </w:pPr>
                </w:p>
              </w:tc>
            </w:tr>
          </w:tbl>
          <w:p w14:paraId="077EF5A6" w14:textId="77777777" w:rsidR="00362177" w:rsidRDefault="00362177">
            <w:pPr>
              <w:spacing w:after="0" w:line="240" w:lineRule="auto"/>
              <w:rPr>
                <w:b/>
                <w:bCs/>
                <w:sz w:val="16"/>
                <w:szCs w:val="16"/>
                <w:lang w:val="en-US"/>
              </w:rPr>
            </w:pPr>
          </w:p>
          <w:p w14:paraId="2CA28439" w14:textId="77777777" w:rsidR="00362177" w:rsidRDefault="00362177">
            <w:pPr>
              <w:spacing w:after="0" w:line="240" w:lineRule="auto"/>
              <w:rPr>
                <w:b/>
                <w:bCs/>
                <w:sz w:val="18"/>
                <w:szCs w:val="18"/>
                <w:lang w:val="en-US"/>
              </w:rPr>
            </w:pPr>
          </w:p>
        </w:tc>
      </w:tr>
    </w:tbl>
    <w:p w14:paraId="1FC19C12" w14:textId="77777777" w:rsidR="00362177" w:rsidRDefault="00362177">
      <w:pPr>
        <w:rPr>
          <w:sz w:val="28"/>
          <w:szCs w:val="28"/>
          <w:lang w:val="en-US"/>
        </w:rPr>
      </w:pPr>
    </w:p>
    <w:p w14:paraId="618D26B1" w14:textId="77777777" w:rsidR="00362177" w:rsidRDefault="00362177">
      <w:pPr>
        <w:rPr>
          <w:sz w:val="28"/>
          <w:szCs w:val="28"/>
          <w:lang w:val="en-US"/>
        </w:rPr>
        <w:sectPr w:rsidR="00362177">
          <w:pgSz w:w="11906" w:h="16838"/>
          <w:pgMar w:top="284" w:right="284" w:bottom="284" w:left="284" w:header="0" w:footer="0" w:gutter="0"/>
          <w:cols w:space="708"/>
          <w:formProt w:val="0"/>
          <w:docGrid w:linePitch="360" w:charSpace="4096"/>
        </w:sectPr>
      </w:pPr>
    </w:p>
    <w:tbl>
      <w:tblPr>
        <w:tblStyle w:val="Tabela-Siatka"/>
        <w:tblW w:w="11338" w:type="dxa"/>
        <w:tblLook w:val="04A0" w:firstRow="1" w:lastRow="0" w:firstColumn="1" w:lastColumn="0" w:noHBand="0" w:noVBand="1"/>
      </w:tblPr>
      <w:tblGrid>
        <w:gridCol w:w="2835"/>
        <w:gridCol w:w="8503"/>
      </w:tblGrid>
      <w:tr w:rsidR="00362177" w:rsidRPr="009E3068" w14:paraId="4EAAB1C0" w14:textId="77777777">
        <w:tc>
          <w:tcPr>
            <w:tcW w:w="2835" w:type="dxa"/>
            <w:tcBorders>
              <w:top w:val="nil"/>
              <w:left w:val="nil"/>
              <w:bottom w:val="nil"/>
              <w:right w:val="nil"/>
            </w:tcBorders>
          </w:tcPr>
          <w:p w14:paraId="7F12516D" w14:textId="77777777" w:rsidR="00362177" w:rsidRDefault="00000000">
            <w:pPr>
              <w:spacing w:after="0" w:line="240" w:lineRule="auto"/>
              <w:rPr>
                <w:sz w:val="28"/>
                <w:szCs w:val="28"/>
              </w:rPr>
            </w:pPr>
            <w:r>
              <w:rPr>
                <w:noProof/>
                <w:sz w:val="28"/>
                <w:szCs w:val="28"/>
              </w:rPr>
              <w:lastRenderedPageBreak/>
              <w:drawing>
                <wp:anchor distT="360045" distB="360045" distL="114300" distR="114300" simplePos="0" relativeHeight="3" behindDoc="0" locked="0" layoutInCell="1" allowOverlap="1" wp14:anchorId="23ADBB54" wp14:editId="5AF84009">
                  <wp:simplePos x="0" y="0"/>
                  <wp:positionH relativeFrom="column">
                    <wp:posOffset>-65405</wp:posOffset>
                  </wp:positionH>
                  <wp:positionV relativeFrom="paragraph">
                    <wp:posOffset>5715</wp:posOffset>
                  </wp:positionV>
                  <wp:extent cx="989965" cy="810260"/>
                  <wp:effectExtent l="0" t="0" r="0" b="0"/>
                  <wp:wrapSquare wrapText="bothSides"/>
                  <wp:docPr id="100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7CCACFD6" w14:textId="77777777" w:rsidR="0036217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0B942DB8" w14:textId="77777777" w:rsidR="00362177" w:rsidRPr="009E3068" w:rsidRDefault="00362177">
            <w:pPr>
              <w:spacing w:after="0" w:line="240" w:lineRule="auto"/>
              <w:jc w:val="center"/>
              <w:rPr>
                <w:b/>
                <w:bCs/>
                <w:sz w:val="28"/>
                <w:szCs w:val="28"/>
                <w:lang w:val="it-IT"/>
              </w:rPr>
            </w:pPr>
          </w:p>
        </w:tc>
      </w:tr>
      <w:tr w:rsidR="00362177" w:rsidRPr="009E3068" w14:paraId="7FE57A14" w14:textId="77777777">
        <w:tc>
          <w:tcPr>
            <w:tcW w:w="2835" w:type="dxa"/>
            <w:tcBorders>
              <w:top w:val="nil"/>
              <w:left w:val="nil"/>
              <w:bottom w:val="nil"/>
              <w:right w:val="nil"/>
            </w:tcBorders>
          </w:tcPr>
          <w:p w14:paraId="0571FEA7" w14:textId="77777777" w:rsidR="00362177" w:rsidRPr="009E3068" w:rsidRDefault="00362177">
            <w:pPr>
              <w:spacing w:after="0" w:line="240" w:lineRule="auto"/>
              <w:rPr>
                <w:sz w:val="28"/>
                <w:szCs w:val="28"/>
                <w:lang w:val="it-IT"/>
              </w:rPr>
            </w:pPr>
          </w:p>
        </w:tc>
        <w:tc>
          <w:tcPr>
            <w:tcW w:w="8502" w:type="dxa"/>
            <w:tcBorders>
              <w:top w:val="nil"/>
              <w:left w:val="nil"/>
              <w:bottom w:val="nil"/>
              <w:right w:val="nil"/>
            </w:tcBorders>
          </w:tcPr>
          <w:p w14:paraId="0142EF5D" w14:textId="77777777" w:rsidR="00362177" w:rsidRDefault="00000000">
            <w:pPr>
              <w:spacing w:after="0" w:line="240" w:lineRule="auto"/>
              <w:jc w:val="center"/>
              <w:rPr>
                <w:b/>
                <w:bCs/>
                <w:sz w:val="28"/>
                <w:szCs w:val="28"/>
                <w:lang w:val="en-US"/>
              </w:rPr>
            </w:pPr>
            <w:r>
              <w:rPr>
                <w:b/>
                <w:bCs/>
                <w:sz w:val="28"/>
                <w:szCs w:val="28"/>
                <w:lang w:val="en-US"/>
              </w:rPr>
              <w:t>Detailed description of ECTS credits awarded - part B</w:t>
            </w:r>
          </w:p>
        </w:tc>
      </w:tr>
      <w:tr w:rsidR="00362177" w14:paraId="61376934" w14:textId="77777777">
        <w:tc>
          <w:tcPr>
            <w:tcW w:w="2835" w:type="dxa"/>
            <w:tcBorders>
              <w:top w:val="nil"/>
              <w:left w:val="nil"/>
              <w:bottom w:val="nil"/>
              <w:right w:val="nil"/>
            </w:tcBorders>
          </w:tcPr>
          <w:p w14:paraId="2189536B" w14:textId="77777777" w:rsidR="00362177" w:rsidRDefault="00000000">
            <w:pPr>
              <w:spacing w:after="0" w:line="240" w:lineRule="auto"/>
              <w:rPr>
                <w:b/>
                <w:bCs/>
                <w:sz w:val="28"/>
                <w:szCs w:val="28"/>
              </w:rPr>
            </w:pPr>
            <w:r>
              <w:rPr>
                <w:b/>
                <w:bCs/>
                <w:sz w:val="28"/>
                <w:szCs w:val="28"/>
              </w:rPr>
              <w:t>48SJ-INM68</w:t>
            </w:r>
          </w:p>
        </w:tc>
        <w:tc>
          <w:tcPr>
            <w:tcW w:w="8502" w:type="dxa"/>
            <w:tcBorders>
              <w:top w:val="nil"/>
              <w:left w:val="nil"/>
              <w:bottom w:val="nil"/>
              <w:right w:val="nil"/>
            </w:tcBorders>
          </w:tcPr>
          <w:p w14:paraId="2C520285" w14:textId="77777777" w:rsidR="00362177" w:rsidRDefault="00000000">
            <w:pPr>
              <w:spacing w:after="0" w:line="240" w:lineRule="auto"/>
              <w:jc w:val="center"/>
              <w:rPr>
                <w:b/>
                <w:bCs/>
                <w:sz w:val="28"/>
                <w:szCs w:val="28"/>
              </w:rPr>
            </w:pPr>
            <w:r>
              <w:rPr>
                <w:b/>
                <w:bCs/>
                <w:sz w:val="28"/>
                <w:szCs w:val="28"/>
              </w:rPr>
              <w:t>INTERNAL MEDICINE  6/8</w:t>
            </w:r>
          </w:p>
        </w:tc>
      </w:tr>
      <w:tr w:rsidR="00362177" w14:paraId="76A5B2DB" w14:textId="77777777">
        <w:tc>
          <w:tcPr>
            <w:tcW w:w="2835" w:type="dxa"/>
            <w:tcBorders>
              <w:top w:val="nil"/>
              <w:left w:val="nil"/>
              <w:bottom w:val="nil"/>
              <w:right w:val="nil"/>
            </w:tcBorders>
          </w:tcPr>
          <w:p w14:paraId="25CBD545" w14:textId="77777777" w:rsidR="00362177" w:rsidRDefault="00000000">
            <w:pPr>
              <w:spacing w:after="0" w:line="240" w:lineRule="auto"/>
              <w:rPr>
                <w:b/>
                <w:bCs/>
                <w:sz w:val="28"/>
                <w:szCs w:val="28"/>
              </w:rPr>
            </w:pPr>
            <w:r>
              <w:rPr>
                <w:b/>
                <w:bCs/>
                <w:sz w:val="28"/>
                <w:szCs w:val="28"/>
              </w:rPr>
              <w:t>2023L</w:t>
            </w:r>
          </w:p>
        </w:tc>
        <w:tc>
          <w:tcPr>
            <w:tcW w:w="8502" w:type="dxa"/>
            <w:tcBorders>
              <w:top w:val="nil"/>
              <w:left w:val="nil"/>
              <w:bottom w:val="nil"/>
              <w:right w:val="nil"/>
            </w:tcBorders>
          </w:tcPr>
          <w:p w14:paraId="17C188B1" w14:textId="77777777" w:rsidR="00362177" w:rsidRDefault="00362177">
            <w:pPr>
              <w:spacing w:after="0" w:line="240" w:lineRule="auto"/>
              <w:jc w:val="center"/>
              <w:rPr>
                <w:b/>
                <w:bCs/>
                <w:sz w:val="28"/>
                <w:szCs w:val="28"/>
              </w:rPr>
            </w:pPr>
          </w:p>
        </w:tc>
      </w:tr>
      <w:tr w:rsidR="00362177" w14:paraId="28CF0A76" w14:textId="77777777">
        <w:tc>
          <w:tcPr>
            <w:tcW w:w="2835" w:type="dxa"/>
            <w:tcBorders>
              <w:top w:val="nil"/>
              <w:left w:val="nil"/>
              <w:bottom w:val="nil"/>
              <w:right w:val="nil"/>
            </w:tcBorders>
          </w:tcPr>
          <w:p w14:paraId="4DCB837A" w14:textId="77777777" w:rsidR="00362177" w:rsidRDefault="00000000">
            <w:pPr>
              <w:spacing w:after="0" w:line="240" w:lineRule="auto"/>
              <w:rPr>
                <w:b/>
                <w:bCs/>
                <w:sz w:val="28"/>
                <w:szCs w:val="28"/>
              </w:rPr>
            </w:pPr>
            <w:r>
              <w:rPr>
                <w:b/>
                <w:bCs/>
                <w:sz w:val="28"/>
                <w:szCs w:val="28"/>
              </w:rPr>
              <w:t>ECTS: 1.00</w:t>
            </w:r>
          </w:p>
        </w:tc>
        <w:tc>
          <w:tcPr>
            <w:tcW w:w="8502" w:type="dxa"/>
            <w:tcBorders>
              <w:top w:val="nil"/>
              <w:left w:val="nil"/>
              <w:bottom w:val="nil"/>
              <w:right w:val="nil"/>
            </w:tcBorders>
          </w:tcPr>
          <w:p w14:paraId="137FCC58" w14:textId="77777777" w:rsidR="00362177" w:rsidRDefault="00362177">
            <w:pPr>
              <w:spacing w:after="0" w:line="240" w:lineRule="auto"/>
              <w:rPr>
                <w:b/>
                <w:bCs/>
                <w:sz w:val="28"/>
                <w:szCs w:val="28"/>
              </w:rPr>
            </w:pPr>
          </w:p>
        </w:tc>
      </w:tr>
    </w:tbl>
    <w:p w14:paraId="29D11714" w14:textId="77777777" w:rsidR="00362177" w:rsidRDefault="00362177"/>
    <w:p w14:paraId="556F154F" w14:textId="77777777" w:rsidR="00362177" w:rsidRDefault="00000000">
      <w:pPr>
        <w:rPr>
          <w:lang w:val="en-US"/>
        </w:rPr>
      </w:pPr>
      <w:r>
        <w:rPr>
          <w:lang w:val="en-US"/>
        </w:rPr>
        <w:t>The number of ECTS credits awarded consists of:</w:t>
      </w:r>
    </w:p>
    <w:p w14:paraId="219156A3" w14:textId="77777777" w:rsidR="00362177" w:rsidRDefault="00000000">
      <w:pPr>
        <w:rPr>
          <w:lang w:val="en-US"/>
        </w:rPr>
      </w:pPr>
      <w:r>
        <w:rPr>
          <w:lang w:val="en-US"/>
        </w:rPr>
        <w:t>1. Contact hours with the academic teacher:</w:t>
      </w:r>
    </w:p>
    <w:tbl>
      <w:tblPr>
        <w:tblStyle w:val="Tabela-Siatka"/>
        <w:tblW w:w="11334" w:type="dxa"/>
        <w:tblLook w:val="04A0" w:firstRow="1" w:lastRow="0" w:firstColumn="1" w:lastColumn="0" w:noHBand="0" w:noVBand="1"/>
      </w:tblPr>
      <w:tblGrid>
        <w:gridCol w:w="8729"/>
        <w:gridCol w:w="2605"/>
      </w:tblGrid>
      <w:tr w:rsidR="00362177" w14:paraId="0B79293B" w14:textId="77777777">
        <w:tc>
          <w:tcPr>
            <w:tcW w:w="8728" w:type="dxa"/>
            <w:tcBorders>
              <w:top w:val="nil"/>
              <w:left w:val="nil"/>
              <w:bottom w:val="nil"/>
              <w:right w:val="nil"/>
            </w:tcBorders>
            <w:vAlign w:val="center"/>
          </w:tcPr>
          <w:p w14:paraId="28BF9B75" w14:textId="77777777" w:rsidR="00362177" w:rsidRDefault="00000000">
            <w:pPr>
              <w:spacing w:after="0" w:line="240" w:lineRule="auto"/>
            </w:pPr>
            <w:r>
              <w:t xml:space="preserve">- </w:t>
            </w:r>
            <w:r>
              <w:rPr>
                <w:lang w:val="en-US"/>
              </w:rPr>
              <w:t>participation in</w:t>
            </w:r>
            <w:r>
              <w:t>: Lecture</w:t>
            </w:r>
          </w:p>
        </w:tc>
        <w:tc>
          <w:tcPr>
            <w:tcW w:w="2605" w:type="dxa"/>
            <w:tcBorders>
              <w:top w:val="nil"/>
              <w:left w:val="nil"/>
              <w:bottom w:val="nil"/>
              <w:right w:val="nil"/>
            </w:tcBorders>
            <w:vAlign w:val="center"/>
          </w:tcPr>
          <w:p w14:paraId="59BB8F66" w14:textId="77777777" w:rsidR="00362177" w:rsidRDefault="00000000">
            <w:pPr>
              <w:spacing w:after="0" w:line="240" w:lineRule="auto"/>
              <w:jc w:val="right"/>
            </w:pPr>
            <w:r>
              <w:t>13 h</w:t>
            </w:r>
          </w:p>
        </w:tc>
      </w:tr>
      <w:tr w:rsidR="00362177" w14:paraId="4A7609B9" w14:textId="77777777">
        <w:tc>
          <w:tcPr>
            <w:tcW w:w="8728" w:type="dxa"/>
            <w:tcBorders>
              <w:top w:val="nil"/>
              <w:left w:val="nil"/>
              <w:bottom w:val="nil"/>
              <w:right w:val="nil"/>
            </w:tcBorders>
            <w:vAlign w:val="center"/>
          </w:tcPr>
          <w:p w14:paraId="64AE2658" w14:textId="77777777" w:rsidR="00362177" w:rsidRDefault="00000000">
            <w:pPr>
              <w:spacing w:after="0" w:line="240" w:lineRule="auto"/>
            </w:pPr>
            <w:r>
              <w:t xml:space="preserve">- </w:t>
            </w:r>
            <w:r>
              <w:rPr>
                <w:lang w:val="en-US"/>
              </w:rPr>
              <w:t>participation in</w:t>
            </w:r>
            <w:r>
              <w:t>: Seminar</w:t>
            </w:r>
          </w:p>
        </w:tc>
        <w:tc>
          <w:tcPr>
            <w:tcW w:w="2605" w:type="dxa"/>
            <w:tcBorders>
              <w:top w:val="nil"/>
              <w:left w:val="nil"/>
              <w:bottom w:val="nil"/>
              <w:right w:val="nil"/>
            </w:tcBorders>
            <w:vAlign w:val="center"/>
          </w:tcPr>
          <w:p w14:paraId="0801DC88" w14:textId="77777777" w:rsidR="00362177" w:rsidRDefault="00000000">
            <w:pPr>
              <w:spacing w:after="0" w:line="240" w:lineRule="auto"/>
              <w:jc w:val="right"/>
            </w:pPr>
            <w:r>
              <w:t>28 h</w:t>
            </w:r>
          </w:p>
        </w:tc>
      </w:tr>
      <w:tr w:rsidR="00362177" w14:paraId="1352E376" w14:textId="77777777">
        <w:tc>
          <w:tcPr>
            <w:tcW w:w="8728" w:type="dxa"/>
            <w:tcBorders>
              <w:top w:val="nil"/>
              <w:left w:val="nil"/>
              <w:bottom w:val="nil"/>
              <w:right w:val="nil"/>
            </w:tcBorders>
            <w:vAlign w:val="center"/>
          </w:tcPr>
          <w:p w14:paraId="0B375EDC" w14:textId="77777777" w:rsidR="00362177" w:rsidRDefault="00000000">
            <w:pPr>
              <w:spacing w:after="0" w:line="240" w:lineRule="auto"/>
            </w:pPr>
            <w:r>
              <w:t xml:space="preserve">-  </w:t>
            </w:r>
            <w:r>
              <w:rPr>
                <w:lang w:val="en-US"/>
              </w:rPr>
              <w:t>consultation</w:t>
            </w:r>
          </w:p>
        </w:tc>
        <w:tc>
          <w:tcPr>
            <w:tcW w:w="2605" w:type="dxa"/>
            <w:tcBorders>
              <w:top w:val="nil"/>
              <w:left w:val="nil"/>
              <w:bottom w:val="nil"/>
              <w:right w:val="nil"/>
            </w:tcBorders>
            <w:vAlign w:val="center"/>
          </w:tcPr>
          <w:p w14:paraId="663ED3DE" w14:textId="77777777" w:rsidR="00362177" w:rsidRDefault="00000000">
            <w:pPr>
              <w:spacing w:after="0" w:line="240" w:lineRule="auto"/>
              <w:jc w:val="right"/>
            </w:pPr>
            <w:r>
              <w:t>2 h</w:t>
            </w:r>
          </w:p>
        </w:tc>
      </w:tr>
      <w:tr w:rsidR="00362177" w14:paraId="2A59103A" w14:textId="77777777">
        <w:tc>
          <w:tcPr>
            <w:tcW w:w="8728" w:type="dxa"/>
            <w:tcBorders>
              <w:top w:val="nil"/>
              <w:left w:val="nil"/>
              <w:bottom w:val="nil"/>
              <w:right w:val="nil"/>
            </w:tcBorders>
            <w:vAlign w:val="center"/>
          </w:tcPr>
          <w:p w14:paraId="6DECEA59" w14:textId="77777777" w:rsidR="00362177" w:rsidRDefault="00362177">
            <w:pPr>
              <w:spacing w:after="0" w:line="240" w:lineRule="auto"/>
            </w:pPr>
          </w:p>
        </w:tc>
        <w:tc>
          <w:tcPr>
            <w:tcW w:w="2605" w:type="dxa"/>
            <w:tcBorders>
              <w:top w:val="nil"/>
              <w:left w:val="nil"/>
              <w:bottom w:val="nil"/>
              <w:right w:val="nil"/>
            </w:tcBorders>
            <w:vAlign w:val="center"/>
          </w:tcPr>
          <w:p w14:paraId="34E75949" w14:textId="77777777" w:rsidR="00362177" w:rsidRDefault="00000000">
            <w:pPr>
              <w:spacing w:after="0" w:line="240" w:lineRule="auto"/>
              <w:jc w:val="right"/>
            </w:pPr>
            <w:r>
              <w:t>Total: 43 h</w:t>
            </w:r>
          </w:p>
        </w:tc>
      </w:tr>
    </w:tbl>
    <w:p w14:paraId="35D03838" w14:textId="77777777" w:rsidR="00362177" w:rsidRDefault="00362177">
      <w:pPr>
        <w:jc w:val="right"/>
      </w:pPr>
    </w:p>
    <w:p w14:paraId="10098A33" w14:textId="77777777" w:rsidR="00362177" w:rsidRDefault="00000000">
      <w:r>
        <w:t xml:space="preserve">2. </w:t>
      </w:r>
      <w:r>
        <w:rPr>
          <w:lang w:val="en-US"/>
        </w:rPr>
        <w:t>Independent work of a student:</w:t>
      </w:r>
    </w:p>
    <w:tbl>
      <w:tblPr>
        <w:tblStyle w:val="Tabela-Siatka"/>
        <w:tblW w:w="11333" w:type="dxa"/>
        <w:tblLook w:val="04A0" w:firstRow="1" w:lastRow="0" w:firstColumn="1" w:lastColumn="0" w:noHBand="0" w:noVBand="1"/>
      </w:tblPr>
      <w:tblGrid>
        <w:gridCol w:w="8719"/>
        <w:gridCol w:w="2614"/>
      </w:tblGrid>
      <w:tr w:rsidR="00362177" w14:paraId="08A66EC4" w14:textId="77777777">
        <w:trPr>
          <w:trHeight w:val="313"/>
        </w:trPr>
        <w:tc>
          <w:tcPr>
            <w:tcW w:w="8718" w:type="dxa"/>
            <w:tcBorders>
              <w:top w:val="nil"/>
              <w:left w:val="nil"/>
              <w:bottom w:val="nil"/>
              <w:right w:val="nil"/>
            </w:tcBorders>
          </w:tcPr>
          <w:p w14:paraId="4EF0E021" w14:textId="77777777" w:rsidR="00362177" w:rsidRDefault="00362177">
            <w:pPr>
              <w:spacing w:after="0" w:line="240" w:lineRule="auto"/>
            </w:pPr>
          </w:p>
        </w:tc>
        <w:tc>
          <w:tcPr>
            <w:tcW w:w="2614" w:type="dxa"/>
            <w:tcBorders>
              <w:top w:val="nil"/>
              <w:left w:val="nil"/>
              <w:bottom w:val="nil"/>
              <w:right w:val="nil"/>
            </w:tcBorders>
          </w:tcPr>
          <w:p w14:paraId="09D34262" w14:textId="77777777" w:rsidR="00362177" w:rsidRDefault="00000000">
            <w:pPr>
              <w:spacing w:after="0" w:line="240" w:lineRule="auto"/>
              <w:jc w:val="right"/>
            </w:pPr>
            <w:r>
              <w:t>Total: 0 h</w:t>
            </w:r>
          </w:p>
        </w:tc>
      </w:tr>
    </w:tbl>
    <w:p w14:paraId="73F3FB6A" w14:textId="77777777" w:rsidR="00362177" w:rsidRDefault="00362177"/>
    <w:p w14:paraId="720103C5" w14:textId="77777777" w:rsidR="00362177" w:rsidRDefault="00362177">
      <w:pPr>
        <w:rPr>
          <w:b/>
          <w:bCs/>
          <w:color w:val="C9211E"/>
        </w:rPr>
      </w:pPr>
    </w:p>
    <w:p w14:paraId="2BFA9CEC" w14:textId="77777777" w:rsidR="00362177" w:rsidRDefault="00000000">
      <w:pPr>
        <w:jc w:val="right"/>
      </w:pPr>
      <w:r>
        <w:t>Total (</w:t>
      </w:r>
      <w:proofErr w:type="spellStart"/>
      <w:r>
        <w:t>contact</w:t>
      </w:r>
      <w:proofErr w:type="spellEnd"/>
      <w:r>
        <w:t xml:space="preserve"> </w:t>
      </w:r>
      <w:proofErr w:type="spellStart"/>
      <w:r>
        <w:t>hours</w:t>
      </w:r>
      <w:proofErr w:type="spellEnd"/>
      <w:r>
        <w:t xml:space="preserve"> + independent </w:t>
      </w:r>
      <w:proofErr w:type="spellStart"/>
      <w:r>
        <w:t>work</w:t>
      </w:r>
      <w:proofErr w:type="spellEnd"/>
      <w:r>
        <w:t xml:space="preserve"> of a student): 43 h</w:t>
      </w:r>
    </w:p>
    <w:p w14:paraId="4862C30E" w14:textId="77777777" w:rsidR="00362177" w:rsidRDefault="00362177">
      <w:pPr>
        <w:jc w:val="right"/>
      </w:pPr>
    </w:p>
    <w:p w14:paraId="0FE1C834" w14:textId="77777777" w:rsidR="00362177" w:rsidRDefault="00362177">
      <w:pPr>
        <w:jc w:val="right"/>
      </w:pPr>
    </w:p>
    <w:p w14:paraId="63CA3DBE" w14:textId="77777777" w:rsidR="00362177" w:rsidRDefault="00362177"/>
    <w:p w14:paraId="60AF8D78" w14:textId="77777777" w:rsidR="00362177" w:rsidRPr="009E3068" w:rsidRDefault="00000000">
      <w:pPr>
        <w:pStyle w:val="Bezodstpw"/>
        <w:rPr>
          <w:lang w:val="it-IT"/>
        </w:rPr>
      </w:pPr>
      <w:r w:rsidRPr="009E3068">
        <w:rPr>
          <w:lang w:val="it-IT"/>
        </w:rPr>
        <w:t xml:space="preserve">1 ECTS credit = 25-30 h of an average student’s work, number of ECTS, </w:t>
      </w:r>
    </w:p>
    <w:p w14:paraId="49D32091" w14:textId="77777777" w:rsidR="00362177" w:rsidRDefault="00000000">
      <w:r>
        <w:t xml:space="preserve">ECTS </w:t>
      </w:r>
      <w:proofErr w:type="spellStart"/>
      <w:r>
        <w:t>Points</w:t>
      </w:r>
      <w:proofErr w:type="spellEnd"/>
      <w:r>
        <w:t xml:space="preserve"> = 43 h :  25 h/ECTS = </w:t>
      </w:r>
      <w:r>
        <w:rPr>
          <w:b/>
          <w:bCs/>
        </w:rPr>
        <w:t>1.00</w:t>
      </w:r>
      <w:r>
        <w:t xml:space="preserve"> ECTS </w:t>
      </w:r>
    </w:p>
    <w:p w14:paraId="43952AB3" w14:textId="77777777" w:rsidR="00362177" w:rsidRDefault="00000000">
      <w:pPr>
        <w:rPr>
          <w:b/>
          <w:bCs/>
        </w:rPr>
      </w:pPr>
      <w:proofErr w:type="spellStart"/>
      <w:r>
        <w:t>Average</w:t>
      </w:r>
      <w:proofErr w:type="spellEnd"/>
      <w:r>
        <w:t>: 1.00  ECTS</w:t>
      </w:r>
    </w:p>
    <w:tbl>
      <w:tblPr>
        <w:tblStyle w:val="Tabela-Siatka"/>
        <w:tblW w:w="11328" w:type="dxa"/>
        <w:tblLook w:val="04A0" w:firstRow="1" w:lastRow="0" w:firstColumn="1" w:lastColumn="0" w:noHBand="0" w:noVBand="1"/>
      </w:tblPr>
      <w:tblGrid>
        <w:gridCol w:w="9780"/>
        <w:gridCol w:w="1548"/>
      </w:tblGrid>
      <w:tr w:rsidR="00362177" w14:paraId="01DD579F" w14:textId="77777777">
        <w:tc>
          <w:tcPr>
            <w:tcW w:w="9779" w:type="dxa"/>
            <w:tcBorders>
              <w:top w:val="nil"/>
              <w:left w:val="nil"/>
              <w:bottom w:val="nil"/>
              <w:right w:val="nil"/>
            </w:tcBorders>
            <w:vAlign w:val="center"/>
          </w:tcPr>
          <w:p w14:paraId="4C93EE91" w14:textId="77777777" w:rsidR="00362177" w:rsidRDefault="00000000">
            <w:pPr>
              <w:spacing w:after="0" w:line="240" w:lineRule="auto"/>
            </w:pPr>
            <w:r>
              <w:t xml:space="preserve">- </w:t>
            </w:r>
            <w:r>
              <w:rPr>
                <w:lang w:val="en-US"/>
              </w:rPr>
              <w:t>including the number of ECTS credits for contact hours with the direct participation of an academic teacher</w:t>
            </w:r>
          </w:p>
        </w:tc>
        <w:tc>
          <w:tcPr>
            <w:tcW w:w="1548" w:type="dxa"/>
            <w:tcBorders>
              <w:top w:val="nil"/>
              <w:left w:val="nil"/>
              <w:bottom w:val="nil"/>
              <w:right w:val="nil"/>
            </w:tcBorders>
            <w:vAlign w:val="center"/>
          </w:tcPr>
          <w:p w14:paraId="62340CD6" w14:textId="77777777" w:rsidR="00362177" w:rsidRDefault="00000000">
            <w:pPr>
              <w:spacing w:after="0" w:line="240" w:lineRule="auto"/>
              <w:rPr>
                <w:sz w:val="18"/>
                <w:szCs w:val="18"/>
              </w:rPr>
            </w:pPr>
            <w:r>
              <w:rPr>
                <w:sz w:val="18"/>
                <w:szCs w:val="18"/>
              </w:rPr>
              <w:t>1.00 ECTS</w:t>
            </w:r>
          </w:p>
        </w:tc>
      </w:tr>
      <w:tr w:rsidR="00362177" w14:paraId="7D062BE7" w14:textId="77777777">
        <w:tc>
          <w:tcPr>
            <w:tcW w:w="9779" w:type="dxa"/>
            <w:tcBorders>
              <w:top w:val="nil"/>
              <w:left w:val="nil"/>
              <w:bottom w:val="nil"/>
              <w:right w:val="nil"/>
            </w:tcBorders>
            <w:vAlign w:val="center"/>
          </w:tcPr>
          <w:p w14:paraId="23771521" w14:textId="77777777" w:rsidR="00362177" w:rsidRPr="009E3068" w:rsidRDefault="00000000">
            <w:pPr>
              <w:spacing w:after="0" w:line="240" w:lineRule="auto"/>
              <w:rPr>
                <w:lang w:val="it-IT"/>
              </w:rPr>
            </w:pPr>
            <w:r w:rsidRPr="009E3068">
              <w:rPr>
                <w:lang w:val="it-IT"/>
              </w:rPr>
              <w:t xml:space="preserve">-  </w:t>
            </w:r>
            <w:r>
              <w:rPr>
                <w:lang w:val="en-US"/>
              </w:rPr>
              <w:t>including the number of ECTS credits for hours of independent work of a student</w:t>
            </w:r>
          </w:p>
        </w:tc>
        <w:tc>
          <w:tcPr>
            <w:tcW w:w="1548" w:type="dxa"/>
            <w:tcBorders>
              <w:top w:val="nil"/>
              <w:left w:val="nil"/>
              <w:bottom w:val="nil"/>
              <w:right w:val="nil"/>
            </w:tcBorders>
            <w:vAlign w:val="center"/>
          </w:tcPr>
          <w:p w14:paraId="2A724678" w14:textId="77777777" w:rsidR="00362177" w:rsidRDefault="00000000">
            <w:pPr>
              <w:spacing w:after="0" w:line="240" w:lineRule="auto"/>
              <w:rPr>
                <w:sz w:val="18"/>
                <w:szCs w:val="18"/>
              </w:rPr>
            </w:pPr>
            <w:r>
              <w:rPr>
                <w:sz w:val="18"/>
                <w:szCs w:val="18"/>
              </w:rPr>
              <w:t>0.00 ECTS</w:t>
            </w:r>
          </w:p>
        </w:tc>
      </w:tr>
    </w:tbl>
    <w:p w14:paraId="70CF339A" w14:textId="77777777" w:rsidR="00362177" w:rsidRDefault="00362177"/>
    <w:sectPr w:rsidR="00362177">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177"/>
    <w:rsid w:val="000467E6"/>
    <w:rsid w:val="00083A63"/>
    <w:rsid w:val="000C2020"/>
    <w:rsid w:val="00112011"/>
    <w:rsid w:val="001B54DA"/>
    <w:rsid w:val="0024440B"/>
    <w:rsid w:val="002707AE"/>
    <w:rsid w:val="00362177"/>
    <w:rsid w:val="006471F6"/>
    <w:rsid w:val="006D637E"/>
    <w:rsid w:val="009E3068"/>
    <w:rsid w:val="00A8462E"/>
    <w:rsid w:val="00ED1131"/>
    <w:rsid w:val="00F40D8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3BA0"/>
  <w15:docId w15:val="{3939E556-FC67-4471-BF64-497CB77F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1626</Words>
  <Characters>9757</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Barbara Samulewicz-Neumann</cp:lastModifiedBy>
  <cp:revision>3</cp:revision>
  <dcterms:created xsi:type="dcterms:W3CDTF">2025-05-28T07:03:00Z</dcterms:created>
  <dcterms:modified xsi:type="dcterms:W3CDTF">2025-05-28T07:23:00Z</dcterms:modified>
  <dc:identifier/>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