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1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8502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360045" distB="360045" distL="114300" distR="114300" simplePos="0" locked="0" layoutInCell="1" allowOverlap="1" relativeHeight="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32"/>
                <w:szCs w:val="32"/>
                <w:lang w:val="en-US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Wydział Lekarski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pl-PL" w:eastAsia="en-US" w:bidi="ar-SA"/>
              </w:rPr>
              <w:t xml:space="preserve">48SJ-GIP23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Ginekologia i położnictwo 2/3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Gynecology and Obstetrics 2/3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5.00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11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0"/>
        <w:gridCol w:w="2827"/>
      </w:tblGrid>
      <w:tr>
        <w:trPr/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TREŚCI MERYTORYCZNE: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Ćwiczenia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Badanie ginekologiczne i położnicze; Zaburzenia cyklu miesiączkowego i czynności rozrodczej; Choroby nienowotworowe i nowotworowe narządu rodnego - symptomatologia, diagnostyka, leczenie; Ciąża, poród i połóg - fizjologia i patologia; Planowanie rodziny.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Wykład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WYKŁADY:</w:t>
              <w:br/>
              <w:t xml:space="preserve">1. Cykl miesiączkowy;</w:t>
              <w:br/>
              <w:t xml:space="preserve">2. Antykoncepcja i planowanie rodziny;</w:t>
              <w:br/>
              <w:t xml:space="preserve">3. Ciąża wielopłodowa.</w:t>
              <w:br/>
              <w:t xml:space="preserve">4. Choroby przenoszone droga płciową. Zapalenie przydatków;</w:t>
              <w:br/>
              <w:t xml:space="preserve">5. Endometrioza;</w:t>
              <w:br/>
              <w:t xml:space="preserve">6. Menopauza, osteoporoza, HTZ;</w:t>
              <w:br/>
              <w:t xml:space="preserve">7. Obniżenie i wypadanie narządów miednicy mniejszej;</w:t>
              <w:br/>
              <w:t xml:space="preserve">8. Wysiłkowe nietrzymanie moczu.</w:t>
              <w:br/>
              <w:t xml:space="preserve">9. Pęcherz nadreaktywny.</w:t>
              <w:br/>
              <w:t xml:space="preserve">10.  Nowotwory złośliwe trzonu macicy;</w:t>
              <w:br/>
              <w:t xml:space="preserve">11. Nowotwory złośliwe jajnika, jajowodu i otrzewnej;</w:t>
              <w:br/>
              <w:t xml:space="preserve">12. Nowotwory złośliwe szyjki macicy;</w:t>
              <w:br/>
              <w:t xml:space="preserve">13. Nowotwory złośliwe sromu i pochwy;</w:t>
              <w:br/>
              <w:t xml:space="preserve">14. Zmiany łagodne macicy i przydatków;</w:t>
              <w:br/>
              <w:t xml:space="preserve">15. Zmiany łagodne piersi i rak piersi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Seminarium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Seminaria:</w:t>
              <w:br/>
              <w:t xml:space="preserve">1/2. Endokrynologia ginekologiczna. Regulacja cyklu miesiączkowego. Zapłodnienie i implantacja;</w:t>
              <w:br/>
              <w:t xml:space="preserve">3/4. Pierwotny i wtórny brak miesiączki. Cykle bezowulacyjne. Zespół policystycznych jajników i hyperandrogenizm; Zaburzenia miesiączkowania. Nieprawidłowe krwawienia maciczne;</w:t>
              <w:br/>
              <w:t xml:space="preserve">5/6. Menopauza i okres okołomenopauzalny. Hormonalna terapia zastępcza. Osteoporoza;</w:t>
              <w:br/>
              <w:t xml:space="preserve">7/8. Otyłość i choroby tarczycy a płodność;</w:t>
              <w:br/>
              <w:t xml:space="preserve">9/10. Diagnostyka zapaleń pochwy. Diagnostyka infekcji przenoszonych drogą płciową;</w:t>
              <w:br/>
              <w:t xml:space="preserve">11/12. Planowanie rodziny, Metody antykoncepcji. Krótko działające metody antykoncepcji</w:t>
              <w:br/>
              <w:t xml:space="preserve">13. Długo działające metody antykoncepcji.</w:t>
              <w:br/>
              <w:t xml:space="preserve">14/15. Metody wspomaganego rozrodu; Indukcja owualcji. Diagnostyka przedimplantacyjna (PGD);</w:t>
              <w:br/>
              <w:t xml:space="preserve">16. Endometrioza</w:t>
              <w:br/>
              <w:t xml:space="preserve">17. Mięśniaki macicy</w:t>
              <w:br/>
              <w:t xml:space="preserve">18. Leki w ciąży.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Celem przedmiotu jest nabycie umiejętności niezbędnych dla prowadzenia prawidłowej opieki profilaktyczno -</w:t>
              <w:br/>
              <w:t xml:space="preserve">leczniczej nad kobietą w poszczególnych okresach jej życia oraz zaznajomienie studenta ze skutecznymi</w:t>
              <w:br/>
              <w:t xml:space="preserve">metodami zapobiegania i leczenia chorób narządów płciowych kobiety.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FF" w:val="clear"/>
                <w:lang w:val="en-US"/>
              </w:rPr>
              <w:t>Symbole efektów dyscyplinowych: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en-US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FF" w:val="clear"/>
                <w:lang w:val="en-US"/>
              </w:rPr>
              <w:t>Symbole efektów kierunkowych: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en-US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(Wiedza, Umiejętności, Kompetencje społeczne):</w:t>
            </w:r>
          </w:p>
          <w:tbl>
            <w:tblPr>
              <w:tblW w:w="8288" w:type="dxa"/>
              <w:jc w:val="left"/>
              <w:tblInd w:w="0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</w:tblPr>
            <w:tblGrid>
              <w:gridCol w:w="721"/>
              <w:gridCol w:w="7566"/>
            </w:tblGrid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K1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Potrafi nawiązać i utrzymać pełen głęboki i pełen szacunku kontakt z chorym.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U1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Rozpoznawać objawy podmiotowe i przedmiotowe świadczące o nieprawidłowym przebiegu ciąży (nieprawidłowe krwawienia, czynność skurczową macicy).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W1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Posiada wiedzę na temat funkcji rozrodczych kobiety, zaburzeń z nimi związanych oraz postępowania diagnostycznego i terapeutycznego, dotyczącą w szczególności: a. cyklu miesiączkowego i jego zaburzeń,</w:t>
                    <w:br/>
                    <w:t xml:space="preserve">b. ciąży fizjologicznej i patologicznej,</w:t>
                    <w:br/>
                    <w:t xml:space="preserve">c. porodu fizjologicznego i patologicznego oraz połogu,</w:t>
                    <w:br/>
                    <w:t xml:space="preserve">d. zapaleń i nowotworów w obrębie narządów</w:t>
                    <w:br/>
                    <w:t xml:space="preserve">płciowych,</w:t>
                    <w:br/>
                    <w:t xml:space="preserve">e. regulacji urodzeń,</w:t>
                    <w:br/>
                    <w:t xml:space="preserve">f. menopauzy,</w:t>
                    <w:br/>
                    <w:t xml:space="preserve">g. podstawowych metod diagnostyki i zabiegów ginekologicznych.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FORMY I METODY DYDAKTYCZNE: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284"/>
            </w:tblGrid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Ćwiczenia-['W1', 'U1', 'K1']-Praca w grupie. Omówienie przypadków pacjentek przebywających w oddziale klinicznym. Zajęcia w Centrum Symulacji Medycznych, praca na symulatorach.-Badanie ginekologiczne i położnicze; Zaburzenia cyklu miesiączkowego i czynności rozrodczej; Choroby nienowotworowe i nowotworowe narządu rodnego - symptomatologia, diagnostyka, leczenie; Ciąża, poród i połóg - fizjologia i patologia; Planowanie rodziny.</w:t>
                  </w:r>
                </w:p>
              </w:tc>
            </w:tr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Wykład-['W1']-Prezentacja multimedialna z omówieniem tematu wykładu.-WYKŁADY:</w:t>
                    <w:br/>
                    <w:t xml:space="preserve">1. Cykl miesiączkowy;</w:t>
                    <w:br/>
                    <w:t xml:space="preserve">2. Antykoncepcja i planowanie rodziny;</w:t>
                    <w:br/>
                    <w:t xml:space="preserve">3. Ciąża wielopłodowa.</w:t>
                    <w:br/>
                    <w:t xml:space="preserve">4. Choroby przenoszone droga płciową. Zapalenie przydatków;</w:t>
                    <w:br/>
                    <w:t xml:space="preserve">5. Endometrioza;</w:t>
                    <w:br/>
                    <w:t xml:space="preserve">6. Menopauza, osteoporoza, HTZ;</w:t>
                    <w:br/>
                    <w:t xml:space="preserve">7. Obniżenie i wypadanie narządów miednicy mniejszej;</w:t>
                    <w:br/>
                    <w:t xml:space="preserve">8. Wysiłkowe nietrzymanie moczu.</w:t>
                    <w:br/>
                    <w:t xml:space="preserve">9. Pęcherz nadreaktywny.</w:t>
                    <w:br/>
                    <w:t xml:space="preserve">10.  Nowotwory złośliwe trzonu macicy;</w:t>
                    <w:br/>
                    <w:t xml:space="preserve">11. Nowotwory złośliwe jajnika, jajowodu i otrzewnej;</w:t>
                    <w:br/>
                    <w:t xml:space="preserve">12. Nowotwory złośliwe szyjki macicy;</w:t>
                    <w:br/>
                    <w:t xml:space="preserve">13. Nowotwory złośliwe sromu i pochwy;</w:t>
                    <w:br/>
                    <w:t xml:space="preserve">14. Zmiany łagodne macicy i przydatków;</w:t>
                    <w:br/>
                    <w:t xml:space="preserve">15. Zmiany łagodne piersi i rak piersi</w:t>
                  </w:r>
                </w:p>
              </w:tc>
            </w:tr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Seminarium-['W1']-Prezentacja multimedialna z omówieniem tematu seminarium.-Seminaria:</w:t>
                    <w:br/>
                    <w:t xml:space="preserve">1/2. Endokrynologia ginekologiczna. Regulacja cyklu miesiączkowego. Zapłodnienie i implantacja;</w:t>
                    <w:br/>
                    <w:t xml:space="preserve">3/4. Pierwotny i wtórny brak miesiączki. Cykle bezowulacyjne. Zespół policystycznych jajników i hyperandrogenizm; Zaburzenia miesiączkowania. Nieprawidłowe krwawienia maciczne;</w:t>
                    <w:br/>
                    <w:t xml:space="preserve">5/6. Menopauza i okres okołomenopauzalny. Hormonalna terapia zastępcza. Osteoporoza;</w:t>
                    <w:br/>
                    <w:t xml:space="preserve">7/8. Otyłość i choroby tarczycy a płodność;</w:t>
                    <w:br/>
                    <w:t xml:space="preserve">9/10. Diagnostyka zapaleń pochwy. Diagnostyka infekcji przenoszonych drogą płciową;</w:t>
                    <w:br/>
                    <w:t xml:space="preserve">11/12. Planowanie rodziny, Metody antykoncepcji. Krótko działające metody antykoncepcji</w:t>
                    <w:br/>
                    <w:t xml:space="preserve">13. Długo działające metody antykoncepcji.</w:t>
                    <w:br/>
                    <w:t xml:space="preserve">14/15. Metody wspomaganego rozrodu; Indukcja owualcji. Diagnostyka przedimplantacyjna (PGD);</w:t>
                    <w:br/>
                    <w:t xml:space="preserve">16. Endometrioza</w:t>
                    <w:br/>
                    <w:t xml:space="preserve">17. Mięśniaki macicy</w:t>
                    <w:br/>
                    <w:t xml:space="preserve">18. Leki w ciąży.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FORMA I WARUNKI WERYFIKACJI EFEKTÓW UCZENIA SIĘ: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284"/>
            </w:tblGrid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Wykład-(Ocena pracy i wspólpracy w grupie)-['W1', 'U1', 'K1']-Zaliczenie na podstawie obecności i aktywności na zajęciach.</w:t>
                  </w:r>
                </w:p>
              </w:tc>
            </w:tr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Seminarium-(Udział w dyskusji)-['W1', 'U1']-Zaliczenie na podstawie obecności, udziału w dyskusji, wejściówek na ćwiczeniach klinicznych.</w:t>
                  </w:r>
                </w:p>
              </w:tc>
            </w:tr>
            <w:tr>
              <w:trPr/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Ćwiczenia-(Udział w dyskusji)-['W1', 'U1']-Wejściówki w formie ustnej z zakresu tematów seminaryjnych i wykładowych. Obecność na zajęciach. Ocena pracy w grupie.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Literatura:</w:t>
            </w:r>
          </w:p>
          <w:tbl>
            <w:tblPr>
              <w:tblW w:w="828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4"/>
            </w:tblGrid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1.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Położnictwo i Ginekologia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Prof. dr hab. Grzegorz H. Bręborowicz,,  PZWL, 2017, Strony: , Tom:  (literatura podstawowa) </w:t>
                  </w:r>
                </w:p>
              </w:tc>
            </w:tr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2.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Ćwiczenia położnicze. Podręcznik dla studentów medycyny.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Prof. dr hab. Michał Troszyński,  PZWL, 1996, Strony: , Tom:  (literatura podstawowa) </w:t>
                  </w:r>
                </w:p>
              </w:tc>
            </w:tr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3.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Położnictwo praktyczne i operacje położnicze,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J. Dudenhausen, W. Pschyrembel,,  PZWL, 2013, Strony: , Tom:  (literatura podstawowa) </w:t>
                  </w:r>
                </w:p>
              </w:tc>
            </w:tr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4.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Uroginekologia – algorytmy postępowania terapeutycznego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,  ECHO Kompendium, 2017, Strony: , Tom:  (literatura podstawowa) </w:t>
                  </w:r>
                </w:p>
              </w:tc>
            </w:tr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5.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Obstetrics and Gynecology 7th edition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Charles R.B. Beckmann,  Lipincott ,Willliams  Wilkins,, 2015, Strony: , Tom: (literatura uzupełniająca) 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692"/>
            </w:tblGrid>
            <w:tr>
              <w:trPr/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b w:val="false"/>
                      <w:bCs w:val="false"/>
                      <w:sz w:val="16"/>
                      <w:szCs w:val="16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b w:val="false"/>
                      <w:bCs w:val="false"/>
                      <w:sz w:val="16"/>
                      <w:szCs w:val="16"/>
                    </w:rPr>
                    <w:t xml:space="preserve">-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>Obligatoryjny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>B - przedmioty kierunkowe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 w:val="false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>Dyscyplina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: Nauki medyczne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Język wykładowy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: POL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 w:val="false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 xml:space="preserve">Program: 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Kierunek lekarski - studia jednolite magisterskie stacjonarne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Etap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: Kierunek lekarski piąty rok semestr dziesiąty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 xml:space="preserve">Profil  kształcenia: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Ogólnoakademicki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>Tryb studiów: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Stacjonarne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 xml:space="preserve">Rodzaj studiów: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Jednolite magisterskie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692"/>
            </w:tblGrid>
            <w:tr>
              <w:trPr>
                <w:trHeight w:val="2613" w:hRule="atLeast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wprowadzające: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Anatomia, Fizjologia, Embriologia, Ginekologia i Położnictwo (IX semestr)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wstępne: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Zakres wiadomości, umiejętności i kompetencji związanych z anatomią i fizjologią człowieka, ginekologią i położnictwem (IX semestr)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692"/>
            </w:tblGrid>
            <w:tr>
              <w:trPr>
                <w:trHeight w:val="1622" w:hRule="atLeast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Koordynatorzy: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Tomasz Waśniewski, tomasz.wasniewski@uwm.edu.pl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Marek Gowkielewicz, marek.gowkielewicz@uwm.edu.pl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/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284" w:right="284" w:header="0" w:top="284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Tabela-Siatka"/>
        <w:tblW w:w="11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8502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360045" distB="360045" distL="114300" distR="114300" simplePos="0" locked="0" layoutInCell="1" allowOverlap="1" relativeHeight="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32"/>
                <w:szCs w:val="32"/>
                <w:lang w:val="en-US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Wydział Lekarski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Szczegółowy opis przyznanej punktacji ECTS – część 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B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pl-PL" w:eastAsia="en-US" w:bidi="ar-SA"/>
              </w:rPr>
              <w:t xml:space="preserve">48SJ-GIP23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Ginekologia i położnictwo 2/3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Gynecology and Obstetrics 2/3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5.00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rPr/>
      </w:pPr>
      <w:r>
        <w:rPr/>
        <w:t>Na przyznaną liczbę punktów ECTS składają się:</w:t>
      </w:r>
    </w:p>
    <w:p>
      <w:pPr>
        <w:pStyle w:val="Normal"/>
        <w:rPr/>
      </w:pPr>
      <w:r>
        <w:rPr/>
        <w:t>1. Godziny kontaktowe z nauczycielem akademickim:</w:t>
      </w:r>
    </w:p>
    <w:tbl>
      <w:tblPr>
        <w:tblStyle w:val="Tabela-Siatka"/>
        <w:tblW w:w="11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28"/>
        <w:gridCol w:w="2605"/>
      </w:tblGrid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15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20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60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2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Ogółem: 97 h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2. Samodzielna praca studenta:</w:t>
      </w:r>
    </w:p>
    <w:tbl>
      <w:tblPr>
        <w:tblStyle w:val="Tabela-Siatka"/>
        <w:tblW w:w="113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18"/>
        <w:gridCol w:w="2614"/>
      </w:tblGrid>
      <w:tr>
        <w:trPr/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Przygotowanie do seminarium, ćwiczeń.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28.00 h</w:t>
            </w:r>
          </w:p>
        </w:tc>
      </w:tr>
      <w:tr>
        <w:trPr>
          <w:trHeight w:val="313" w:hRule="atLeast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Ogółem: 28.00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jc w:val="righ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Ogółem (godziny kontaktowe + samodzielna praca studenta)</w:t>
      </w:r>
      <w:r>
        <w:rPr/>
        <w:t xml:space="preserve">: 125.00 h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 xml:space="preserve">1 punkt ECTS = 25-30 h pracy przeciętnego studenta, </w:t>
      </w:r>
    </w:p>
    <w:p>
      <w:pPr>
        <w:pStyle w:val="Normal"/>
        <w:rPr/>
      </w:pPr>
      <w:r>
        <w:rPr/>
        <w:t xml:space="preserve">liczba punktów ECTS = 125.00</w:t>
      </w:r>
      <w:r>
        <w:rPr/>
        <w:t xml:space="preserve"> h :  25 h/ECTS =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5.00</w:t>
      </w:r>
      <w:r>
        <w:rPr/>
        <w:t xml:space="preserve"> ECTS </w:t>
      </w:r>
    </w:p>
    <w:p>
      <w:pPr>
        <w:pStyle w:val="Normal"/>
        <w:rPr>
          <w:b/>
          <w:b/>
          <w:bCs/>
        </w:rPr>
      </w:pPr>
      <w:r>
        <w:rPr/>
        <w:t xml:space="preserve">Średnio: 5.00  ECTS</w:t>
      </w:r>
    </w:p>
    <w:tbl>
      <w:tblPr>
        <w:tblStyle w:val="Tabela-Siatka"/>
        <w:tblW w:w="11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9"/>
        <w:gridCol w:w="1548"/>
      </w:tblGrid>
      <w:tr>
        <w:trPr/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3.88 ECTS</w:t>
            </w:r>
          </w:p>
        </w:tc>
      </w:tr>
      <w:tr>
        <w:trPr/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1.12 ECTS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2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a464d2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168f1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a464d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1"/>
    <w:qFormat/>
    <w:rsid w:val="00d258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35f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20037</TotalTime>
  <Application>LibreOffice/6.4.7.2$Linux_X86_64 LibreOffice_project/40$Build-2</Application>
  <Pages>3</Pages>
  <Words>384</Words>
  <Characters>3317</Characters>
  <CharactersWithSpaces>3628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2021-03-05T07:42:00Z</dcterms:created>
  <dc:creator>UWM</dc:creator>
  <dc:description/>
  <dc:language>en-US</dc:language>
  <cp:lastModifiedBy/>
  <dcterms:modified xsi:type="dcterms:W3CDTF">2025-04-15T14:21:34Z</dcterms:modified>
  <cp:revision>857</cp:revision>
  <dc:subject/>
  <dc:title/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