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125AE0" w14:paraId="0D54141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ACE21D" w14:textId="77777777" w:rsidR="00125AE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02BEA01D" wp14:editId="66112AA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26B1C80" w14:textId="77777777" w:rsidR="00125AE0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6231032F" w14:textId="77777777" w:rsidR="00125AE0" w:rsidRDefault="00125A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5AE0" w14:paraId="3738252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949EE8" w14:textId="77777777" w:rsidR="00125AE0" w:rsidRDefault="00125A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9A12C94" w14:textId="77777777" w:rsidR="00125AE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Course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part A</w:t>
            </w:r>
          </w:p>
        </w:tc>
      </w:tr>
      <w:tr w:rsidR="00125AE0" w14:paraId="1DAA2A8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F6E91D" w14:textId="77777777" w:rsidR="00125AE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48SJ-PHAT33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E59FF76" w14:textId="77777777" w:rsidR="00125AE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Pharmacology and Toxicology 3/3</w:t>
            </w:r>
          </w:p>
        </w:tc>
      </w:tr>
      <w:tr w:rsidR="00125AE0" w14:paraId="2A0F7AE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2D927F" w14:textId="77777777" w:rsidR="00125AE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359E0BE" w14:textId="77777777" w:rsidR="00125AE0" w:rsidRDefault="00125A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5AE0" w14:paraId="14B15A7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EA5A91" w14:textId="77777777" w:rsidR="00125AE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9.00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FA12911" w14:textId="77777777" w:rsidR="00125AE0" w:rsidRDefault="00125A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2E7CF8E" w14:textId="77777777" w:rsidR="00125AE0" w:rsidRDefault="00125AE0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125AE0" w14:paraId="0C6E0452" w14:textId="77777777"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14:paraId="42127C5D" w14:textId="77777777" w:rsidR="00125AE0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SUBJECT MATTER CONTENT:</w:t>
            </w:r>
          </w:p>
          <w:p w14:paraId="5A39C656" w14:textId="77777777" w:rsidR="00125AE0" w:rsidRDefault="00125AE0">
            <w:pPr>
              <w:spacing w:after="0" w:line="240" w:lineRule="auto"/>
            </w:pPr>
          </w:p>
          <w:p w14:paraId="757AC72D" w14:textId="77777777" w:rsidR="00125AE0" w:rsidRDefault="00125AE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3805CF" w14:textId="77777777" w:rsidR="00125AE0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Eicosanoids: prostaglandins, </w:t>
            </w:r>
            <w:proofErr w:type="spellStart"/>
            <w:r>
              <w:rPr>
                <w:sz w:val="24"/>
                <w:szCs w:val="24"/>
                <w:lang w:val="en-US"/>
              </w:rPr>
              <w:t>thromboxanes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leucotrienes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related compounds NSAIDs, disease-modifying rheumatic drugs, non-opioid analgesics and drugs used in gout. Drugs used in the treatment of blood diseases - Anemia treatment; hematopoietic growth factors -Drugs used in the treatment of coagulation disorders Drugs used in respiratory diseases. Pediatric and geriatric pharmacology. Drugs used in dermatology and </w:t>
            </w:r>
            <w:proofErr w:type="spellStart"/>
            <w:r>
              <w:rPr>
                <w:sz w:val="24"/>
                <w:szCs w:val="24"/>
                <w:lang w:val="en-US"/>
              </w:rPr>
              <w:t>ophtalmology</w:t>
            </w:r>
            <w:proofErr w:type="spellEnd"/>
            <w:r>
              <w:rPr>
                <w:sz w:val="24"/>
                <w:szCs w:val="24"/>
                <w:lang w:val="en-US"/>
              </w:rPr>
              <w:t>. Monoclonal antibodies used in medicine Endocrine drugs - Pituitary, hypothalamic hormones - Adrenal glands hormones - Drugs affecting bone mineral homeostasis Chemotherapy of cancer. Immunopharmacology.</w:t>
            </w:r>
          </w:p>
          <w:p w14:paraId="3A437E70" w14:textId="77777777" w:rsidR="00125AE0" w:rsidRDefault="00125AE0">
            <w:pPr>
              <w:spacing w:after="0" w:line="240" w:lineRule="auto"/>
            </w:pPr>
          </w:p>
          <w:p w14:paraId="4A5656EC" w14:textId="77777777" w:rsidR="00125AE0" w:rsidRDefault="00125AE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D516A1B" w14:textId="77777777" w:rsidR="00125AE0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Opioid analgesics and their antagonists. Drugs used in migraine treatment. Treatment of other headaches. Drugs used in the treatment of gastrointestinal diseases Endocrine drugs- part II - Thyroid and antithyroid drugs - Pancreatic hormones, anti- diabetics Toxicology Interaction between drugs. Adverse effects of drugs. Lifestyle drugs and drugs in sport. Biopharmaceuticals and gene therapy.</w:t>
            </w:r>
          </w:p>
          <w:p w14:paraId="67608DDC" w14:textId="77777777" w:rsidR="00125AE0" w:rsidRDefault="00125AE0">
            <w:pPr>
              <w:spacing w:after="0" w:line="240" w:lineRule="auto"/>
            </w:pPr>
          </w:p>
          <w:p w14:paraId="7E2F1B17" w14:textId="77777777" w:rsidR="00125AE0" w:rsidRDefault="00125AE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02F5051" w14:textId="77777777" w:rsidR="00125AE0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Analgesics and their antagonists Drugs used in respiratory diseases Drugs used in </w:t>
            </w:r>
            <w:proofErr w:type="spellStart"/>
            <w:r>
              <w:rPr>
                <w:sz w:val="24"/>
                <w:szCs w:val="24"/>
                <w:lang w:val="en-US"/>
              </w:rPr>
              <w:t>thetreatment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gastrointestinal diseases Endocrine drugs Chemotherapy of cancer Interaction between drugs. Adverse effects of drugs.</w:t>
            </w:r>
          </w:p>
          <w:p w14:paraId="62292324" w14:textId="77777777" w:rsidR="00125AE0" w:rsidRDefault="00125AE0">
            <w:pPr>
              <w:spacing w:after="0" w:line="240" w:lineRule="auto"/>
            </w:pPr>
          </w:p>
          <w:p w14:paraId="5F3615AF" w14:textId="77777777" w:rsidR="00125AE0" w:rsidRDefault="00125A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8EAD336" w14:textId="77777777" w:rsidR="00125AE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OBJECTIVE:</w:t>
            </w:r>
          </w:p>
          <w:p w14:paraId="23B58307" w14:textId="77777777" w:rsidR="00125AE0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>The student learns about individual groups of medicinal products, their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mechanisms and effects of action, basic indications and contraindications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and basic pharmacokinetic and pharmacodynamic parameters;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Preparation to acquire practical skill in writing prescriptions.</w:t>
            </w:r>
          </w:p>
          <w:p w14:paraId="0570772B" w14:textId="77777777" w:rsidR="00125AE0" w:rsidRDefault="00125AE0">
            <w:pPr>
              <w:spacing w:after="0" w:line="240" w:lineRule="auto"/>
            </w:pPr>
          </w:p>
          <w:p w14:paraId="46985502" w14:textId="77777777" w:rsidR="00125AE0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DESCRIPTION OF THE LEARNING OUTCOMES OF THE COURSE IN RELATION TO THE DESCRIPTION OF THE CHARACTERISTICS OF THE SECOND LEVEL LEARNING OUTCOMES FOR QUALIFICATIONS AT LEVELS 6-8 OF THE POLISH QUALIFICATION FRAMEWORK IN RELATION TO THE SCIENTIFIC DISCIPLINES AND THE EFFECTS FOR FIELDS OF STUDY:</w:t>
            </w:r>
          </w:p>
          <w:p w14:paraId="5D0203E5" w14:textId="77777777" w:rsidR="00125AE0" w:rsidRDefault="00125AE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15C3DB0" w14:textId="77777777" w:rsidR="00125AE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Symbols for outcomes related to the discipline:</w:t>
            </w:r>
          </w:p>
          <w:p w14:paraId="3AB74614" w14:textId="77777777" w:rsidR="00125AE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M/NMA_P7S_WG+++++++++++++++++++++++++++++</w:t>
            </w:r>
          </w:p>
          <w:p w14:paraId="24084F80" w14:textId="77777777" w:rsidR="00125AE0" w:rsidRDefault="00125AE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DDE99FE" w14:textId="77777777" w:rsidR="00125AE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Symbols for outcomes related to the field of study:</w:t>
            </w:r>
          </w:p>
          <w:p w14:paraId="0FC6A3D5" w14:textId="77777777" w:rsidR="00125AE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K.1.+, K.2.+, K.3.+, K.4.+, K.5.+, K.6.+, K.7.+, K.8.+, C.U13.+, C.U14.+, C.U15.+, C.U16.+, C.U17.+, C.U18.+, C.U19.+, E.U17.+, E.U18.+, E.U19.+, C.W38.+, C.W39.+, C.W40.+, C.W41.+, C.W42.+, C.W43.+, C.W44.+, C.W45.+, C.W46.+, C.W47.+, C.W48.+</w:t>
            </w:r>
          </w:p>
          <w:p w14:paraId="5287CDE9" w14:textId="77777777" w:rsidR="00125AE0" w:rsidRDefault="00125AE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EF351F0" w14:textId="77777777" w:rsidR="00125AE0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LEARNING OUTCOMES (Knowledge, Skills, Social competence):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125AE0" w14:paraId="1A8BD661" w14:textId="77777777">
              <w:tc>
                <w:tcPr>
                  <w:tcW w:w="721" w:type="dxa"/>
                </w:tcPr>
                <w:p w14:paraId="179B4C6A" w14:textId="77777777" w:rsidR="00125AE0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3BCF4B63" w14:textId="77777777" w:rsidR="00125AE0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establish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maintain</w:t>
                  </w:r>
                  <w:proofErr w:type="spellEnd"/>
                  <w:r>
                    <w:rPr>
                      <w:highlight w:val="white"/>
                    </w:rPr>
                    <w:t xml:space="preserve"> a </w:t>
                  </w:r>
                  <w:proofErr w:type="spellStart"/>
                  <w:r>
                    <w:rPr>
                      <w:highlight w:val="white"/>
                    </w:rPr>
                    <w:t>deep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respectful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contact</w:t>
                  </w:r>
                  <w:proofErr w:type="spellEnd"/>
                  <w:r>
                    <w:rPr>
                      <w:highlight w:val="white"/>
                    </w:rPr>
                    <w:t xml:space="preserve"> with the </w:t>
                  </w:r>
                  <w:proofErr w:type="spellStart"/>
                  <w:r>
                    <w:rPr>
                      <w:highlight w:val="white"/>
                    </w:rPr>
                    <w:t>patient</w:t>
                  </w:r>
                  <w:proofErr w:type="spellEnd"/>
                  <w:r>
                    <w:rPr>
                      <w:highlight w:val="white"/>
                    </w:rPr>
                    <w:t xml:space="preserve">. He </w:t>
                  </w:r>
                  <w:proofErr w:type="spellStart"/>
                  <w:r>
                    <w:rPr>
                      <w:highlight w:val="white"/>
                    </w:rPr>
                    <w:t>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guided</w:t>
                  </w:r>
                  <w:proofErr w:type="spellEnd"/>
                  <w:r>
                    <w:rPr>
                      <w:highlight w:val="white"/>
                    </w:rPr>
                    <w:t xml:space="preserve"> by the </w:t>
                  </w:r>
                  <w:proofErr w:type="spellStart"/>
                  <w:r>
                    <w:rPr>
                      <w:highlight w:val="white"/>
                    </w:rPr>
                    <w:t>good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patient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placing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them</w:t>
                  </w:r>
                  <w:proofErr w:type="spellEnd"/>
                  <w:r>
                    <w:rPr>
                      <w:highlight w:val="white"/>
                    </w:rPr>
                    <w:t xml:space="preserve"> in the </w:t>
                  </w:r>
                  <w:proofErr w:type="spellStart"/>
                  <w:r>
                    <w:rPr>
                      <w:highlight w:val="white"/>
                    </w:rPr>
                    <w:t>first</w:t>
                  </w:r>
                  <w:proofErr w:type="spellEnd"/>
                  <w:r>
                    <w:rPr>
                      <w:highlight w:val="white"/>
                    </w:rPr>
                    <w:t xml:space="preserve"> place. </w:t>
                  </w:r>
                  <w:proofErr w:type="spellStart"/>
                  <w:r>
                    <w:rPr>
                      <w:highlight w:val="white"/>
                    </w:rPr>
                    <w:t>Respects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medical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confidentiality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patient's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rights</w:t>
                  </w:r>
                  <w:proofErr w:type="spellEnd"/>
                  <w:r>
                    <w:rPr>
                      <w:highlight w:val="white"/>
                    </w:rPr>
                    <w:t xml:space="preserve">. He </w:t>
                  </w:r>
                  <w:proofErr w:type="spellStart"/>
                  <w:r>
                    <w:rPr>
                      <w:highlight w:val="white"/>
                    </w:rPr>
                    <w:t>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aware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his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own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limitations</w:t>
                  </w:r>
                  <w:proofErr w:type="spellEnd"/>
                  <w:r>
                    <w:rPr>
                      <w:highlight w:val="white"/>
                    </w:rPr>
                    <w:t xml:space="preserve"> and the </w:t>
                  </w:r>
                  <w:proofErr w:type="spellStart"/>
                  <w:r>
                    <w:rPr>
                      <w:highlight w:val="white"/>
                    </w:rPr>
                    <w:t>ability</w:t>
                  </w:r>
                  <w:proofErr w:type="spellEnd"/>
                  <w:r>
                    <w:rPr>
                      <w:highlight w:val="white"/>
                    </w:rPr>
                    <w:t xml:space="preserve"> to </w:t>
                  </w:r>
                  <w:proofErr w:type="spellStart"/>
                  <w:r>
                    <w:rPr>
                      <w:highlight w:val="white"/>
                    </w:rPr>
                    <w:t>constantly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improve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his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skills</w:t>
                  </w:r>
                  <w:proofErr w:type="spellEnd"/>
                  <w:r>
                    <w:rPr>
                      <w:highlight w:val="white"/>
                    </w:rPr>
                    <w:t>.</w:t>
                  </w:r>
                </w:p>
              </w:tc>
            </w:tr>
            <w:tr w:rsidR="00125AE0" w14:paraId="7615B385" w14:textId="77777777">
              <w:tc>
                <w:tcPr>
                  <w:tcW w:w="721" w:type="dxa"/>
                </w:tcPr>
                <w:p w14:paraId="01AC10AC" w14:textId="77777777" w:rsidR="00125AE0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1084A43" w14:textId="77777777" w:rsidR="00125AE0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demonstrates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ability</w:t>
                  </w:r>
                  <w:proofErr w:type="spellEnd"/>
                  <w:r>
                    <w:rPr>
                      <w:highlight w:val="white"/>
                    </w:rPr>
                    <w:t xml:space="preserve"> to </w:t>
                  </w:r>
                  <w:proofErr w:type="spellStart"/>
                  <w:r>
                    <w:rPr>
                      <w:highlight w:val="white"/>
                    </w:rPr>
                    <w:t>use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drugs</w:t>
                  </w:r>
                  <w:proofErr w:type="spellEnd"/>
                  <w:r>
                    <w:rPr>
                      <w:highlight w:val="white"/>
                    </w:rPr>
                    <w:t xml:space="preserve"> in the </w:t>
                  </w:r>
                  <w:proofErr w:type="spellStart"/>
                  <w:r>
                    <w:rPr>
                      <w:highlight w:val="white"/>
                    </w:rPr>
                    <w:t>therapy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specific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diseases</w:t>
                  </w:r>
                  <w:proofErr w:type="spellEnd"/>
                  <w:r>
                    <w:rPr>
                      <w:highlight w:val="white"/>
                    </w:rPr>
                    <w:t xml:space="preserve">. He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prescribe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medicines</w:t>
                  </w:r>
                  <w:proofErr w:type="spellEnd"/>
                  <w:r>
                    <w:rPr>
                      <w:highlight w:val="white"/>
                    </w:rPr>
                    <w:t xml:space="preserve">. </w:t>
                  </w:r>
                  <w:proofErr w:type="spellStart"/>
                  <w:r>
                    <w:rPr>
                      <w:highlight w:val="white"/>
                    </w:rPr>
                    <w:t>Knowing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main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groups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drugs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that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interact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apply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drug</w:t>
                  </w:r>
                  <w:proofErr w:type="spellEnd"/>
                  <w:r>
                    <w:rPr>
                      <w:highlight w:val="white"/>
                    </w:rPr>
                    <w:t xml:space="preserve"> in a </w:t>
                  </w:r>
                  <w:proofErr w:type="spellStart"/>
                  <w:r>
                    <w:rPr>
                      <w:highlight w:val="white"/>
                    </w:rPr>
                    <w:t>given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group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patients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e.g</w:t>
                  </w:r>
                  <w:proofErr w:type="spellEnd"/>
                  <w:r>
                    <w:rPr>
                      <w:highlight w:val="white"/>
                    </w:rPr>
                    <w:t xml:space="preserve">. </w:t>
                  </w:r>
                  <w:proofErr w:type="spellStart"/>
                  <w:r>
                    <w:rPr>
                      <w:highlight w:val="white"/>
                    </w:rPr>
                    <w:t>older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people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children</w:t>
                  </w:r>
                  <w:proofErr w:type="spellEnd"/>
                </w:p>
              </w:tc>
            </w:tr>
            <w:tr w:rsidR="00125AE0" w14:paraId="308F0472" w14:textId="77777777">
              <w:tc>
                <w:tcPr>
                  <w:tcW w:w="721" w:type="dxa"/>
                </w:tcPr>
                <w:p w14:paraId="3994FB97" w14:textId="77777777" w:rsidR="00125AE0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23849684" w14:textId="77777777" w:rsidR="00125AE0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able</w:t>
                  </w:r>
                  <w:proofErr w:type="spellEnd"/>
                  <w:r>
                    <w:rPr>
                      <w:highlight w:val="white"/>
                    </w:rPr>
                    <w:t xml:space="preserve"> to </w:t>
                  </w:r>
                  <w:proofErr w:type="spellStart"/>
                  <w:r>
                    <w:rPr>
                      <w:highlight w:val="white"/>
                    </w:rPr>
                    <w:t>discuss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mechanisms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action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drugs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adverse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effects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toxic</w:t>
                  </w:r>
                  <w:proofErr w:type="spellEnd"/>
                  <w:r>
                    <w:rPr>
                      <w:highlight w:val="white"/>
                    </w:rPr>
                    <w:t xml:space="preserve">, as </w:t>
                  </w:r>
                  <w:proofErr w:type="spellStart"/>
                  <w:r>
                    <w:rPr>
                      <w:highlight w:val="white"/>
                    </w:rPr>
                    <w:t>well</w:t>
                  </w:r>
                  <w:proofErr w:type="spellEnd"/>
                  <w:r>
                    <w:rPr>
                      <w:highlight w:val="white"/>
                    </w:rPr>
                    <w:t xml:space="preserve"> as </w:t>
                  </w:r>
                  <w:proofErr w:type="spellStart"/>
                  <w:r>
                    <w:rPr>
                      <w:highlight w:val="white"/>
                    </w:rPr>
                    <w:t>possible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interactions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that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may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appear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during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polytherapy</w:t>
                  </w:r>
                  <w:proofErr w:type="spellEnd"/>
                  <w:r>
                    <w:rPr>
                      <w:highlight w:val="white"/>
                    </w:rPr>
                    <w:t xml:space="preserve">. Has </w:t>
                  </w:r>
                  <w:proofErr w:type="spellStart"/>
                  <w:r>
                    <w:rPr>
                      <w:highlight w:val="white"/>
                    </w:rPr>
                    <w:t>knowledge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indications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contraindications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dosage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drugs</w:t>
                  </w:r>
                  <w:proofErr w:type="spellEnd"/>
                  <w:r>
                    <w:rPr>
                      <w:highlight w:val="white"/>
                    </w:rPr>
                    <w:t xml:space="preserve">. He </w:t>
                  </w:r>
                  <w:proofErr w:type="spellStart"/>
                  <w:r>
                    <w:rPr>
                      <w:highlight w:val="white"/>
                    </w:rPr>
                    <w:t>knows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rules</w:t>
                  </w:r>
                  <w:proofErr w:type="spellEnd"/>
                  <w:r>
                    <w:rPr>
                      <w:highlight w:val="white"/>
                    </w:rPr>
                    <w:t xml:space="preserve"> for the </w:t>
                  </w:r>
                  <w:proofErr w:type="spellStart"/>
                  <w:r>
                    <w:rPr>
                      <w:highlight w:val="white"/>
                    </w:rPr>
                    <w:t>use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antimicrobials</w:t>
                  </w:r>
                  <w:proofErr w:type="spellEnd"/>
                  <w:r>
                    <w:rPr>
                      <w:highlight w:val="white"/>
                    </w:rPr>
                    <w:t xml:space="preserve">, the </w:t>
                  </w:r>
                  <w:proofErr w:type="spellStart"/>
                  <w:r>
                    <w:rPr>
                      <w:highlight w:val="white"/>
                    </w:rPr>
                    <w:t>principles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treatment</w:t>
                  </w:r>
                  <w:proofErr w:type="spellEnd"/>
                  <w:r>
                    <w:rPr>
                      <w:highlight w:val="white"/>
                    </w:rPr>
                    <w:t xml:space="preserve"> for </w:t>
                  </w:r>
                  <w:proofErr w:type="spellStart"/>
                  <w:r>
                    <w:rPr>
                      <w:highlight w:val="white"/>
                    </w:rPr>
                    <w:t>poisoning</w:t>
                  </w:r>
                  <w:proofErr w:type="spellEnd"/>
                  <w:r>
                    <w:rPr>
                      <w:highlight w:val="white"/>
                    </w:rPr>
                    <w:t xml:space="preserve">. Has </w:t>
                  </w:r>
                  <w:proofErr w:type="spellStart"/>
                  <w:r>
                    <w:rPr>
                      <w:highlight w:val="white"/>
                    </w:rPr>
                    <w:t>knowledge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pharmacology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developmental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geriatric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age</w:t>
                  </w:r>
                  <w:proofErr w:type="spellEnd"/>
                </w:p>
              </w:tc>
            </w:tr>
          </w:tbl>
          <w:p w14:paraId="79AA4F9E" w14:textId="77777777" w:rsidR="00125AE0" w:rsidRDefault="00125AE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5BD682C" w14:textId="77777777" w:rsidR="00125AE0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FORMS AND METHODS: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25AE0" w14:paraId="4E84DEBF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2188F" w14:textId="77777777" w:rsidR="00125AE0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Classes</w:t>
                  </w:r>
                  <w:proofErr w:type="spellEnd"/>
                  <w:r>
                    <w:t>-['W1', 'U1', 'K1']-</w:t>
                  </w:r>
                  <w:proofErr w:type="spellStart"/>
                  <w:r>
                    <w:t>Pharmacotherapy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cases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prescribing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drugs-Eicosanoids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prostaglandins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thromboxanes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leucotrienes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related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compounds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NSAIDs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disease-modifying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rheumatic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>, non-</w:t>
                  </w:r>
                  <w:proofErr w:type="spellStart"/>
                  <w:r>
                    <w:t>opioid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analgesics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gout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the </w:t>
                  </w:r>
                  <w:proofErr w:type="spellStart"/>
                  <w:r>
                    <w:t>treatment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blood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diseases</w:t>
                  </w:r>
                  <w:proofErr w:type="spellEnd"/>
                  <w:r>
                    <w:t xml:space="preserve"> - Anemia </w:t>
                  </w:r>
                  <w:proofErr w:type="spellStart"/>
                  <w:r>
                    <w:t>treatment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hematopoietic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growth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factors</w:t>
                  </w:r>
                  <w:proofErr w:type="spellEnd"/>
                  <w:r>
                    <w:t xml:space="preserve"> -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the </w:t>
                  </w:r>
                  <w:proofErr w:type="spellStart"/>
                  <w:r>
                    <w:t>treatment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coagulation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disorders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respiratory </w:t>
                  </w:r>
                  <w:proofErr w:type="spellStart"/>
                  <w:r>
                    <w:t>diseases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Pediatric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geriatric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pharmacology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dermatology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ophtalmology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Monoclonal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antibodies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medicine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Endocrine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Pituitary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hypothalamic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hormones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Adrenal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glands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hormones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affecting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mineral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homeostasis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Chemotherapy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cancer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Immunopharmacology</w:t>
                  </w:r>
                  <w:proofErr w:type="spellEnd"/>
                  <w:r>
                    <w:t>.</w:t>
                  </w:r>
                </w:p>
              </w:tc>
            </w:tr>
            <w:tr w:rsidR="00125AE0" w14:paraId="7F831AB0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21316" w14:textId="77777777" w:rsidR="00125AE0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Seminar</w:t>
                  </w:r>
                  <w:proofErr w:type="spellEnd"/>
                  <w:r>
                    <w:t>-['W1', 'U1', 'K1']-</w:t>
                  </w:r>
                  <w:proofErr w:type="spellStart"/>
                  <w:r>
                    <w:t>students</w:t>
                  </w:r>
                  <w:proofErr w:type="spellEnd"/>
                  <w:r>
                    <w:t xml:space="preserve">' </w:t>
                  </w:r>
                  <w:proofErr w:type="spellStart"/>
                  <w:r>
                    <w:t>multimedial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presentations-Opioid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analgesics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their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antagonists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migraine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treatment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Treatment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other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headaches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the </w:t>
                  </w:r>
                  <w:proofErr w:type="spellStart"/>
                  <w:r>
                    <w:t>treatment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gastrointestinal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diseases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Endocrine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- part II - </w:t>
                  </w:r>
                  <w:proofErr w:type="spellStart"/>
                  <w:r>
                    <w:t>Thyroid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antithyroid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Pancreatic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hormones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anti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diabetics</w:t>
                  </w:r>
                  <w:proofErr w:type="spellEnd"/>
                  <w:r>
                    <w:t xml:space="preserve"> Toxicology </w:t>
                  </w:r>
                  <w:proofErr w:type="spellStart"/>
                  <w:r>
                    <w:t>Interaction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between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Adverse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effects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Lifestyle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in sport. </w:t>
                  </w:r>
                  <w:proofErr w:type="spellStart"/>
                  <w:r>
                    <w:t>Biopharmaceuticals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gene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therapy</w:t>
                  </w:r>
                  <w:proofErr w:type="spellEnd"/>
                  <w:r>
                    <w:t>.</w:t>
                  </w:r>
                </w:p>
              </w:tc>
            </w:tr>
            <w:tr w:rsidR="00125AE0" w14:paraId="210066F6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3E120" w14:textId="77777777" w:rsidR="00125AE0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Lecture</w:t>
                  </w:r>
                  <w:proofErr w:type="spellEnd"/>
                  <w:r>
                    <w:t xml:space="preserve">-['W1', 'U1', 'K1']-Multimedia </w:t>
                  </w:r>
                  <w:proofErr w:type="spellStart"/>
                  <w:r>
                    <w:t>presentation-Analgesics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their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antagonists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respiratory </w:t>
                  </w:r>
                  <w:proofErr w:type="spellStart"/>
                  <w:r>
                    <w:t>diseases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used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thetreatment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gastrointestinal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diseases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Endocrine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Chemotherapy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cancer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Interaction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between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drugs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Adverse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effects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drugs</w:t>
                  </w:r>
                  <w:proofErr w:type="spellEnd"/>
                  <w:r>
                    <w:t>.</w:t>
                  </w:r>
                </w:p>
              </w:tc>
            </w:tr>
          </w:tbl>
          <w:p w14:paraId="277AB925" w14:textId="77777777" w:rsidR="00125AE0" w:rsidRDefault="00125AE0">
            <w:pPr>
              <w:spacing w:after="0" w:line="240" w:lineRule="auto"/>
            </w:pPr>
          </w:p>
          <w:p w14:paraId="2A1D88C0" w14:textId="77777777" w:rsidR="00125AE0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 AND CONDITIONS OF VERIFYING LEARNING OUTCOMES: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25AE0" w14:paraId="79550CFD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3EC17" w14:textId="77777777" w:rsidR="00125AE0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Classes</w:t>
                  </w:r>
                  <w:proofErr w:type="spellEnd"/>
                  <w:r>
                    <w:t>-(Colloquium test)-['W1', 'U1', 'K1']-60 %</w:t>
                  </w:r>
                </w:p>
              </w:tc>
            </w:tr>
            <w:tr w:rsidR="00125AE0" w14:paraId="098D5F4A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02F8F" w14:textId="77777777" w:rsidR="00125AE0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Lecture</w:t>
                  </w:r>
                  <w:proofErr w:type="spellEnd"/>
                  <w:r>
                    <w:t>-(Colloquium test)-['W1', 'U1', 'K1']-60 %</w:t>
                  </w:r>
                </w:p>
              </w:tc>
            </w:tr>
            <w:tr w:rsidR="00125AE0" w14:paraId="390EC8EA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D414C" w14:textId="77777777" w:rsidR="00125AE0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Seminar</w:t>
                  </w:r>
                  <w:proofErr w:type="spellEnd"/>
                  <w:r>
                    <w:t>-(Colloquium test)-['W1', 'U1', 'K1']-60 %</w:t>
                  </w:r>
                </w:p>
              </w:tc>
            </w:tr>
          </w:tbl>
          <w:p w14:paraId="073E9DB7" w14:textId="77777777" w:rsidR="00125AE0" w:rsidRDefault="00125AE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8352DC1" w14:textId="77777777" w:rsidR="00125AE0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Literature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125AE0" w14:paraId="70340F3D" w14:textId="77777777">
              <w:tc>
                <w:tcPr>
                  <w:tcW w:w="8284" w:type="dxa"/>
                </w:tcPr>
                <w:p w14:paraId="7B290865" w14:textId="77777777" w:rsidR="00125AE0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Basic and Clinical Pharmacology 16e</w:t>
                  </w:r>
                  <w:r>
                    <w:t xml:space="preserve">, Todd W. </w:t>
                  </w:r>
                  <w:proofErr w:type="spellStart"/>
                  <w:r>
                    <w:t>Vanderah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McGraw</w:t>
                  </w:r>
                  <w:proofErr w:type="spellEnd"/>
                  <w:r>
                    <w:t xml:space="preserve"> Hill, 2024, Strony: 1368, Tom:1  (literatura podstawowa) </w:t>
                  </w:r>
                </w:p>
              </w:tc>
            </w:tr>
          </w:tbl>
          <w:p w14:paraId="18397D71" w14:textId="77777777" w:rsidR="00125AE0" w:rsidRDefault="00125AE0">
            <w:pPr>
              <w:spacing w:after="0" w:line="240" w:lineRule="auto"/>
              <w:rPr>
                <w:sz w:val="24"/>
                <w:szCs w:val="24"/>
              </w:rPr>
            </w:pPr>
          </w:p>
          <w:p w14:paraId="708E0947" w14:textId="77777777" w:rsidR="00125AE0" w:rsidRDefault="00125AE0">
            <w:pPr>
              <w:spacing w:after="0" w:line="240" w:lineRule="auto"/>
              <w:rPr>
                <w:sz w:val="24"/>
                <w:szCs w:val="24"/>
              </w:rPr>
            </w:pPr>
          </w:p>
          <w:p w14:paraId="1406CF99" w14:textId="77777777" w:rsidR="00125AE0" w:rsidRDefault="00125AE0">
            <w:pPr>
              <w:spacing w:after="0" w:line="240" w:lineRule="auto"/>
              <w:rPr>
                <w:sz w:val="24"/>
                <w:szCs w:val="24"/>
              </w:rPr>
            </w:pPr>
          </w:p>
          <w:p w14:paraId="6456DC26" w14:textId="77777777" w:rsidR="00125AE0" w:rsidRDefault="00125A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73488727" w14:textId="77777777" w:rsidR="00125AE0" w:rsidRDefault="00125AE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125AE0" w14:paraId="628D0803" w14:textId="77777777">
              <w:trPr>
                <w:trHeight w:val="3513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075CBD8" w14:textId="18C36677" w:rsidR="00125AE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Legal acts specifying learning outcomes: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3A4923">
                    <w:rPr>
                      <w:sz w:val="16"/>
                      <w:szCs w:val="16"/>
                      <w:lang w:val="en-US"/>
                    </w:rPr>
                    <w:t>672/2020</w:t>
                  </w:r>
                </w:p>
                <w:p w14:paraId="0219EDDF" w14:textId="45A15464" w:rsidR="00125AE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of the course: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923">
                    <w:rPr>
                      <w:b/>
                      <w:bCs/>
                      <w:sz w:val="16"/>
                      <w:szCs w:val="16"/>
                    </w:rPr>
                    <w:t>Obligatory</w:t>
                  </w:r>
                  <w:proofErr w:type="spellEnd"/>
                </w:p>
                <w:p w14:paraId="37C733AB" w14:textId="4E3A4CBA" w:rsidR="00125AE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Group of courses:</w:t>
                  </w:r>
                  <w:r w:rsidR="003A4923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A</w:t>
                  </w:r>
                </w:p>
                <w:p w14:paraId="7015EEAD" w14:textId="77777777" w:rsidR="00125AE0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Discipline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Medical Sciences</w:t>
                  </w:r>
                </w:p>
                <w:p w14:paraId="1472659A" w14:textId="77777777" w:rsidR="00125AE0" w:rsidRDefault="00125AE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03B07714" w14:textId="77777777" w:rsidR="00125AE0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r>
                    <w:rPr>
                      <w:sz w:val="16"/>
                      <w:szCs w:val="16"/>
                      <w:lang w:val="en-US"/>
                    </w:rPr>
                    <w:t>All</w:t>
                  </w:r>
                </w:p>
                <w:p w14:paraId="23D4DB3C" w14:textId="511DA154" w:rsidR="00125AE0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Form of studies:</w:t>
                  </w:r>
                  <w:r w:rsidR="003A4923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full-time</w:t>
                  </w:r>
                </w:p>
                <w:p w14:paraId="37EB63A4" w14:textId="6CCC852C" w:rsidR="00125AE0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Level of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studies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3A4923">
                    <w:rPr>
                      <w:b/>
                      <w:bCs/>
                      <w:sz w:val="16"/>
                      <w:szCs w:val="16"/>
                    </w:rPr>
                    <w:t xml:space="preserve">uniform </w:t>
                  </w:r>
                  <w:proofErr w:type="spellStart"/>
                  <w:r w:rsidR="003A4923">
                    <w:rPr>
                      <w:b/>
                      <w:bCs/>
                      <w:sz w:val="16"/>
                      <w:szCs w:val="16"/>
                    </w:rPr>
                    <w:t>master’s</w:t>
                  </w:r>
                  <w:proofErr w:type="spellEnd"/>
                  <w:r w:rsidR="003A4923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A4923">
                    <w:rPr>
                      <w:b/>
                      <w:bCs/>
                      <w:sz w:val="16"/>
                      <w:szCs w:val="16"/>
                    </w:rPr>
                    <w:t>studies</w:t>
                  </w:r>
                  <w:proofErr w:type="spellEnd"/>
                </w:p>
                <w:p w14:paraId="5C5A520F" w14:textId="77777777" w:rsidR="00125AE0" w:rsidRDefault="00125AE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100AEE3B" w14:textId="77777777" w:rsidR="00125AE0" w:rsidRDefault="00125AE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0E620CAD" w14:textId="77777777" w:rsidR="00125AE0" w:rsidRDefault="00125AE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77939A6" w14:textId="77777777" w:rsidR="00125AE0" w:rsidRDefault="00125AE0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125AE0" w14:paraId="7C128515" w14:textId="77777777">
              <w:trPr>
                <w:trHeight w:val="1625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0A577FC" w14:textId="77777777" w:rsidR="00125AE0" w:rsidRDefault="00125AE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6F8E0DA" w14:textId="77777777" w:rsidR="00125AE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Introductory subject: </w:t>
                  </w:r>
                  <w:r>
                    <w:rPr>
                      <w:sz w:val="16"/>
                      <w:szCs w:val="16"/>
                      <w:lang w:val="en-US"/>
                    </w:rPr>
                    <w:t>human biochemistry, physiology and pathophysiology</w:t>
                  </w:r>
                </w:p>
                <w:p w14:paraId="54D6F106" w14:textId="77777777" w:rsidR="00125AE0" w:rsidRDefault="00125AE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54E94740" w14:textId="77777777" w:rsidR="00125AE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Prerequisites: </w:t>
                  </w:r>
                  <w:r>
                    <w:rPr>
                      <w:sz w:val="16"/>
                      <w:szCs w:val="16"/>
                      <w:lang w:val="en-US"/>
                    </w:rPr>
                    <w:t>Knowledge of basic information about</w:t>
                  </w:r>
                  <w:r>
                    <w:rPr>
                      <w:sz w:val="16"/>
                      <w:szCs w:val="16"/>
                      <w:lang w:val="en-US"/>
                    </w:rPr>
                    <w:br/>
                    <w:t>processes taking place in the body</w:t>
                  </w:r>
                  <w:r>
                    <w:rPr>
                      <w:sz w:val="16"/>
                      <w:szCs w:val="16"/>
                      <w:lang w:val="en-US"/>
                    </w:rPr>
                    <w:br/>
                    <w:t>cellular, organ and. level</w:t>
                  </w:r>
                  <w:r>
                    <w:rPr>
                      <w:sz w:val="16"/>
                      <w:szCs w:val="16"/>
                      <w:lang w:val="en-US"/>
                    </w:rPr>
                    <w:br/>
                    <w:t xml:space="preserve">systemic; understanding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pathomechanisms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br/>
                    <w:t>development of circulatory system diseases,</w:t>
                  </w:r>
                  <w:r>
                    <w:rPr>
                      <w:sz w:val="16"/>
                      <w:szCs w:val="16"/>
                      <w:lang w:val="en-US"/>
                    </w:rPr>
                    <w:br/>
                    <w:t>respiratory, digestive, nervous and</w:t>
                  </w:r>
                  <w:r>
                    <w:rPr>
                      <w:sz w:val="16"/>
                      <w:szCs w:val="16"/>
                      <w:lang w:val="en-US"/>
                    </w:rPr>
                    <w:br/>
                    <w:t>hormonal.</w:t>
                  </w:r>
                </w:p>
                <w:p w14:paraId="145F3473" w14:textId="77777777" w:rsidR="00125AE0" w:rsidRDefault="00125AE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36BDD38" w14:textId="77777777" w:rsidR="00125AE0" w:rsidRDefault="00125AE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6D886B5D" w14:textId="77777777" w:rsidR="00125AE0" w:rsidRDefault="00125AE0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125AE0" w14:paraId="6317B243" w14:textId="77777777">
              <w:trPr>
                <w:trHeight w:val="988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58BCEFD" w14:textId="77777777" w:rsidR="00125AE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Coordinators:</w:t>
                  </w:r>
                </w:p>
                <w:p w14:paraId="7F9091A7" w14:textId="77777777" w:rsidR="00125AE0" w:rsidRDefault="00125AE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6830BA63" w14:textId="77777777" w:rsidR="00125AE0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Piotr Jakubowski, piotr.jakubowski@uwm.edu.pl</w:t>
                  </w:r>
                </w:p>
                <w:p w14:paraId="306B5895" w14:textId="77777777" w:rsidR="00125AE0" w:rsidRDefault="00125AE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BF00C61" w14:textId="7D1DE36A" w:rsidR="00125AE0" w:rsidRDefault="00000000" w:rsidP="003A4923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Michał Majewski, </w:t>
                  </w:r>
                </w:p>
              </w:tc>
            </w:tr>
          </w:tbl>
          <w:p w14:paraId="1F1EAA0E" w14:textId="77777777" w:rsidR="00125AE0" w:rsidRDefault="00125AE0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766E9C45" w14:textId="77777777" w:rsidR="00125AE0" w:rsidRDefault="00125AE0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73A87E00" w14:textId="77777777" w:rsidR="00125AE0" w:rsidRDefault="00125AE0">
      <w:pPr>
        <w:rPr>
          <w:sz w:val="28"/>
          <w:szCs w:val="28"/>
          <w:lang w:val="en-US"/>
        </w:rPr>
      </w:pPr>
    </w:p>
    <w:p w14:paraId="21F6B964" w14:textId="77777777" w:rsidR="00125AE0" w:rsidRDefault="00125AE0">
      <w:pPr>
        <w:rPr>
          <w:sz w:val="28"/>
          <w:szCs w:val="28"/>
          <w:lang w:val="en-US"/>
        </w:rPr>
        <w:sectPr w:rsidR="00125AE0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125AE0" w14:paraId="779B2F2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3300AE" w14:textId="77777777" w:rsidR="00125AE0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3B9E8318" wp14:editId="4B17F73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CADD465" w14:textId="77777777" w:rsidR="00125AE0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63BA27F1" w14:textId="77777777" w:rsidR="00125AE0" w:rsidRDefault="00125A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5AE0" w14:paraId="182C4A0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6BD204" w14:textId="77777777" w:rsidR="00125AE0" w:rsidRDefault="00125AE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E64B2CE" w14:textId="77777777" w:rsidR="00125AE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Detailed description of ECTS credits awarded - part B</w:t>
            </w:r>
          </w:p>
        </w:tc>
      </w:tr>
      <w:tr w:rsidR="00125AE0" w14:paraId="2FA63E4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620A311" w14:textId="77777777" w:rsidR="00125AE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48SJ-PHAT33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D1CA9AD" w14:textId="77777777" w:rsidR="00125AE0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Pharmacology and Toxicology 3/3</w:t>
            </w:r>
          </w:p>
        </w:tc>
      </w:tr>
      <w:tr w:rsidR="00125AE0" w14:paraId="0A8B485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AFB08A" w14:textId="77777777" w:rsidR="00125AE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A145EF2" w14:textId="77777777" w:rsidR="00125AE0" w:rsidRDefault="00125AE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5AE0" w14:paraId="051672B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626CE6" w14:textId="77777777" w:rsidR="00125AE0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9.00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6F877BE" w14:textId="77777777" w:rsidR="00125AE0" w:rsidRDefault="00125AE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93C97C6" w14:textId="77777777" w:rsidR="00125AE0" w:rsidRDefault="00125AE0"/>
    <w:p w14:paraId="34975BF9" w14:textId="77777777" w:rsidR="00125AE0" w:rsidRDefault="00000000">
      <w:pPr>
        <w:rPr>
          <w:lang w:val="en-US"/>
        </w:rPr>
      </w:pPr>
      <w:r>
        <w:rPr>
          <w:lang w:val="en-US"/>
        </w:rPr>
        <w:t>The number of ECTS credits awarded consists of:</w:t>
      </w:r>
    </w:p>
    <w:p w14:paraId="2DB03F84" w14:textId="77777777" w:rsidR="00125AE0" w:rsidRDefault="00000000">
      <w:pPr>
        <w:rPr>
          <w:lang w:val="en-US"/>
        </w:rPr>
      </w:pPr>
      <w:r>
        <w:rPr>
          <w:lang w:val="en-US"/>
        </w:rPr>
        <w:t>1. Contact hours with the academic teacher: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125AE0" w14:paraId="42C3BAEA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17F8C" w14:textId="77777777" w:rsidR="00125AE0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participation in</w:t>
            </w:r>
            <w:r>
              <w:t xml:space="preserve">: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FA78" w14:textId="77777777" w:rsidR="00125AE0" w:rsidRDefault="00000000">
            <w:pPr>
              <w:spacing w:after="0" w:line="240" w:lineRule="auto"/>
              <w:jc w:val="right"/>
            </w:pPr>
            <w:r>
              <w:t>15 h</w:t>
            </w:r>
          </w:p>
        </w:tc>
      </w:tr>
      <w:tr w:rsidR="00125AE0" w14:paraId="0CCCAD7E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7D5E" w14:textId="77777777" w:rsidR="00125AE0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participation in</w:t>
            </w:r>
            <w:r>
              <w:t xml:space="preserve">: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8199" w14:textId="77777777" w:rsidR="00125AE0" w:rsidRDefault="00000000">
            <w:pPr>
              <w:spacing w:after="0" w:line="240" w:lineRule="auto"/>
              <w:jc w:val="right"/>
            </w:pPr>
            <w:r>
              <w:t>30 h</w:t>
            </w:r>
          </w:p>
        </w:tc>
      </w:tr>
      <w:tr w:rsidR="00125AE0" w14:paraId="1AB6BA3F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6543" w14:textId="77777777" w:rsidR="00125AE0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participation in</w:t>
            </w:r>
            <w:r>
              <w:t xml:space="preserve">: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16E70" w14:textId="77777777" w:rsidR="00125AE0" w:rsidRDefault="00000000">
            <w:pPr>
              <w:spacing w:after="0" w:line="240" w:lineRule="auto"/>
              <w:jc w:val="right"/>
            </w:pPr>
            <w:r>
              <w:t>30 h</w:t>
            </w:r>
          </w:p>
        </w:tc>
      </w:tr>
      <w:tr w:rsidR="00125AE0" w14:paraId="5A51A98E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3CA84" w14:textId="77777777" w:rsidR="00125AE0" w:rsidRDefault="00000000">
            <w:pPr>
              <w:spacing w:after="0" w:line="240" w:lineRule="auto"/>
            </w:pPr>
            <w:r>
              <w:t xml:space="preserve">-  </w:t>
            </w:r>
            <w:r>
              <w:rPr>
                <w:lang w:val="en-US"/>
              </w:rPr>
              <w:t>consultation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1CAB" w14:textId="77777777" w:rsidR="00125AE0" w:rsidRDefault="00000000">
            <w:pPr>
              <w:spacing w:after="0" w:line="240" w:lineRule="auto"/>
              <w:jc w:val="right"/>
            </w:pPr>
            <w:r>
              <w:t>5 h</w:t>
            </w:r>
          </w:p>
        </w:tc>
      </w:tr>
      <w:tr w:rsidR="00125AE0" w14:paraId="537EB323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99D6" w14:textId="77777777" w:rsidR="00125AE0" w:rsidRDefault="00125AE0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453C6" w14:textId="77777777" w:rsidR="00125AE0" w:rsidRDefault="00000000">
            <w:pPr>
              <w:spacing w:after="0" w:line="240" w:lineRule="auto"/>
              <w:jc w:val="right"/>
            </w:pPr>
            <w:r>
              <w:t>Total: 80 h</w:t>
            </w:r>
          </w:p>
        </w:tc>
      </w:tr>
    </w:tbl>
    <w:p w14:paraId="3EAB283F" w14:textId="77777777" w:rsidR="00125AE0" w:rsidRDefault="00125AE0">
      <w:pPr>
        <w:jc w:val="right"/>
      </w:pPr>
    </w:p>
    <w:p w14:paraId="4733CD42" w14:textId="77777777" w:rsidR="00125AE0" w:rsidRDefault="00000000">
      <w:r>
        <w:t xml:space="preserve">2. </w:t>
      </w:r>
      <w:r>
        <w:rPr>
          <w:lang w:val="en-US"/>
        </w:rPr>
        <w:t>Independent work of a student: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125AE0" w14:paraId="2D5CCA6F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295624AF" w14:textId="77777777" w:rsidR="00125AE0" w:rsidRDefault="00000000">
            <w:pPr>
              <w:spacing w:after="0" w:line="360" w:lineRule="auto"/>
            </w:pPr>
            <w:proofErr w:type="spellStart"/>
            <w:r>
              <w:t>Studying</w:t>
            </w:r>
            <w:proofErr w:type="spellEnd"/>
            <w:r>
              <w:t xml:space="preserve"> for </w:t>
            </w:r>
            <w:proofErr w:type="spellStart"/>
            <w:r>
              <w:t>exam</w:t>
            </w:r>
            <w:proofErr w:type="spellEnd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8CA20E4" w14:textId="77777777" w:rsidR="00125AE0" w:rsidRDefault="00000000">
            <w:pPr>
              <w:spacing w:after="0" w:line="360" w:lineRule="auto"/>
              <w:jc w:val="right"/>
            </w:pPr>
            <w:r>
              <w:t>60.00 h</w:t>
            </w:r>
          </w:p>
        </w:tc>
      </w:tr>
      <w:tr w:rsidR="00125AE0" w14:paraId="54D0F122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5BCEC49C" w14:textId="77777777" w:rsidR="00125AE0" w:rsidRDefault="00000000">
            <w:pPr>
              <w:spacing w:after="0" w:line="360" w:lineRule="auto"/>
            </w:pPr>
            <w:proofErr w:type="spellStart"/>
            <w:r>
              <w:t>Studying</w:t>
            </w:r>
            <w:proofErr w:type="spellEnd"/>
            <w:r>
              <w:t xml:space="preserve"> for </w:t>
            </w:r>
            <w:proofErr w:type="spellStart"/>
            <w:r>
              <w:t>classes</w:t>
            </w:r>
            <w:proofErr w:type="spellEnd"/>
            <w:r>
              <w:t xml:space="preserve"> and </w:t>
            </w:r>
            <w:proofErr w:type="spellStart"/>
            <w:r>
              <w:t>seminars</w:t>
            </w:r>
            <w:proofErr w:type="spellEnd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6598F08" w14:textId="77777777" w:rsidR="00125AE0" w:rsidRDefault="00000000">
            <w:pPr>
              <w:spacing w:after="0" w:line="360" w:lineRule="auto"/>
              <w:jc w:val="right"/>
            </w:pPr>
            <w:r>
              <w:t>85.00 h</w:t>
            </w:r>
          </w:p>
        </w:tc>
      </w:tr>
      <w:tr w:rsidR="00125AE0" w14:paraId="015B5AF2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6EBF8D46" w14:textId="77777777" w:rsidR="00125AE0" w:rsidRDefault="00125AE0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59BB429" w14:textId="77777777" w:rsidR="00125AE0" w:rsidRDefault="00000000">
            <w:pPr>
              <w:spacing w:after="0" w:line="240" w:lineRule="auto"/>
              <w:jc w:val="right"/>
            </w:pPr>
            <w:r>
              <w:t>Total: 145.00 h</w:t>
            </w:r>
          </w:p>
        </w:tc>
      </w:tr>
    </w:tbl>
    <w:p w14:paraId="28BCA56C" w14:textId="77777777" w:rsidR="00125AE0" w:rsidRDefault="00125AE0"/>
    <w:p w14:paraId="6822D9DA" w14:textId="77777777" w:rsidR="00125AE0" w:rsidRDefault="00125AE0">
      <w:pPr>
        <w:rPr>
          <w:b/>
          <w:bCs/>
          <w:color w:val="C9211E"/>
        </w:rPr>
      </w:pPr>
    </w:p>
    <w:p w14:paraId="1C0C7FB0" w14:textId="77777777" w:rsidR="00125AE0" w:rsidRDefault="00000000">
      <w:pPr>
        <w:jc w:val="right"/>
      </w:pPr>
      <w:r>
        <w:t>Total (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+ independent </w:t>
      </w:r>
      <w:proofErr w:type="spellStart"/>
      <w:r>
        <w:t>work</w:t>
      </w:r>
      <w:proofErr w:type="spellEnd"/>
      <w:r>
        <w:t xml:space="preserve"> of a student): 225.00 h</w:t>
      </w:r>
    </w:p>
    <w:p w14:paraId="268B4BEB" w14:textId="77777777" w:rsidR="00125AE0" w:rsidRDefault="00125AE0">
      <w:pPr>
        <w:jc w:val="right"/>
      </w:pPr>
    </w:p>
    <w:p w14:paraId="48EC4D10" w14:textId="77777777" w:rsidR="00125AE0" w:rsidRDefault="00125AE0">
      <w:pPr>
        <w:jc w:val="right"/>
      </w:pPr>
    </w:p>
    <w:p w14:paraId="2C553EB9" w14:textId="77777777" w:rsidR="00125AE0" w:rsidRDefault="00125AE0"/>
    <w:p w14:paraId="5D5405DD" w14:textId="77777777" w:rsidR="00125AE0" w:rsidRDefault="00000000">
      <w:pPr>
        <w:pStyle w:val="Bezodstpw"/>
      </w:pPr>
      <w:r>
        <w:t xml:space="preserve">1 ECTS </w:t>
      </w:r>
      <w:proofErr w:type="spellStart"/>
      <w:r>
        <w:t>credit</w:t>
      </w:r>
      <w:proofErr w:type="spellEnd"/>
      <w:r>
        <w:t xml:space="preserve"> = 25-30 h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 of ECTS, </w:t>
      </w:r>
    </w:p>
    <w:p w14:paraId="7B71D423" w14:textId="77777777" w:rsidR="00125AE0" w:rsidRDefault="00000000">
      <w:r>
        <w:t xml:space="preserve">ECTS </w:t>
      </w:r>
      <w:proofErr w:type="spellStart"/>
      <w:r>
        <w:t>Points</w:t>
      </w:r>
      <w:proofErr w:type="spellEnd"/>
      <w:r>
        <w:t xml:space="preserve"> = 225.00 h :  25 h/ECTS = </w:t>
      </w:r>
      <w:r>
        <w:rPr>
          <w:b/>
          <w:bCs/>
        </w:rPr>
        <w:t>9.00</w:t>
      </w:r>
      <w:r>
        <w:t xml:space="preserve"> ECTS </w:t>
      </w:r>
    </w:p>
    <w:p w14:paraId="58E42F49" w14:textId="77777777" w:rsidR="00125AE0" w:rsidRDefault="00000000">
      <w:pPr>
        <w:rPr>
          <w:b/>
          <w:bCs/>
        </w:rPr>
      </w:pPr>
      <w:proofErr w:type="spellStart"/>
      <w:r>
        <w:t>Average</w:t>
      </w:r>
      <w:proofErr w:type="spellEnd"/>
      <w:r>
        <w:t>: 9.00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125AE0" w14:paraId="20C776F5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E500" w14:textId="77777777" w:rsidR="00125AE0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including the number of ECTS credits for contact hours with the direct participation of an academic teacher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16E7" w14:textId="77777777" w:rsidR="00125AE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 ECTS</w:t>
            </w:r>
          </w:p>
        </w:tc>
      </w:tr>
      <w:tr w:rsidR="00125AE0" w14:paraId="29BD1BA3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6315" w14:textId="77777777" w:rsidR="00125AE0" w:rsidRDefault="00000000">
            <w:pPr>
              <w:spacing w:after="0" w:line="240" w:lineRule="auto"/>
            </w:pPr>
            <w:r>
              <w:t xml:space="preserve">-  </w:t>
            </w:r>
            <w:r>
              <w:rPr>
                <w:lang w:val="en-US"/>
              </w:rPr>
              <w:t>including the number of ECTS credits for hours of independent work of a student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4DA71" w14:textId="77777777" w:rsidR="00125AE0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 ECTS</w:t>
            </w:r>
          </w:p>
        </w:tc>
      </w:tr>
    </w:tbl>
    <w:p w14:paraId="56D9F5FC" w14:textId="77777777" w:rsidR="00125AE0" w:rsidRDefault="00125AE0"/>
    <w:sectPr w:rsidR="00125AE0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E0"/>
    <w:rsid w:val="00125AE0"/>
    <w:rsid w:val="003A4923"/>
    <w:rsid w:val="00C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881E"/>
  <w15:docId w15:val="{4ABE1985-05A1-402F-9A81-22D00669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Jurewicz</cp:lastModifiedBy>
  <cp:revision>2</cp:revision>
  <dcterms:created xsi:type="dcterms:W3CDTF">2025-04-28T12:22:00Z</dcterms:created>
  <dcterms:modified xsi:type="dcterms:W3CDTF">2025-04-28T12:22:00Z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