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13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35"/>
        <w:gridCol w:w="8502"/>
      </w:tblGrid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360045" distB="360045" distL="114300" distR="114300" simplePos="0" locked="0" layoutInCell="1" allowOverlap="1" relativeHeight="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32"/>
                <w:szCs w:val="32"/>
                <w:lang w:val="en-US"/>
              </w:rPr>
            </w:pPr>
            <w:r>
              <w:rPr>
                <w:rFonts w:cs="Calibri" w:cstheme="minorHAnsi"/>
                <w:sz w:val="28"/>
                <w:szCs w:val="28"/>
                <w:lang w:val="en-US"/>
              </w:rPr>
              <w:t>UNIVERSITY OF WARMIA AND MAZURY IN OLSZTYN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 xml:space="preserve"/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en-US"/>
              </w:rPr>
              <w:t>Course sylabus – part A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pl-PL" w:eastAsia="en-US" w:bidi="ar-SA"/>
              </w:rPr>
              <w:t xml:space="preserve">48SJ-EMME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Emergency Medicine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4.00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ela-Siatka"/>
        <w:tblW w:w="113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375"/>
        <w:gridCol w:w="2952"/>
      </w:tblGrid>
      <w:tr>
        <w:trPr/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SUBJECT MATTER CONTENT: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/>
                <w:b w:val="false"/>
                <w:bCs w:val="false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/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/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  <w:lang w:val="en-US"/>
              </w:rPr>
              <w:t xml:space="preserve">1. A patient with a multi-organ trauma. Proceedings in the Hospital Emergency Department. The role of the Trauma Center in the care of the injured with multiple injuries. 2. Non-orthopedic dangers. Improving the ability to examine patients with isolated injuries, X-ray analysis and supplying fractures and dislocations. P-pain treatment.3. Stomach pain. Bleeding to the gastrointestinal tract. Abdominal aortic aneurysm. Peritonitis. Diagnosis and proceedings in SKOR.
</w:t>
              <w:br/>
              <w:t xml:space="preserve">.4 Emergency in neurology. Patient with consciousness disorders.
</w:t>
              <w:br/>
              <w:t xml:space="preserve">Loss of consciousness - diagnostics in SOR. Stroke Headaches - differential diagnosis (SAH), p-pain treatments in SOR.5. Respiratory disorders. Acute respiratory failure. Indications for respiratorotherapy. Non-invasive ventilation and its application in PPR. Exercising the skills of supplying the lower respiratory tract. 6. Acute poisoning - diagnostic possibilities in SOR, conduct. Cholinolytic, cholinergic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  <w:lang w:val="en-US"/>
              </w:rPr>
              <w:t xml:space="preserve"/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TEACHING OBJECTIVE: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"/>
                <w:b w:val="false"/>
                <w:bCs w:val="false"/>
                <w:color w:val="auto"/>
                <w:kern w:val="0"/>
                <w:sz w:val="24"/>
                <w:szCs w:val="24"/>
                <w:lang w:val="en-US" w:eastAsia="en-US" w:bidi="ar-SA"/>
              </w:rPr>
              <w:t xml:space="preserve">To learn skilful and proper care of patients in emergencies. To learn the teamwork, decision making and how to</w:t>
              <w:br/>
              <w:t xml:space="preserve">work in stress and critical situations.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DESCRIPTION OF THE LEARNING OUTCOMES OF THE COURSE IN RELATION TO THE DESCRIPTION OF THE CHARACTERISTICS OF THE SECOND LEVEL LEARNING OUTCOMES FOR QUALIFICATIONS AT LEVELS 6-8 OF THE POLISH QUALIFICATION FRAMEWORK IN RELATION TO THE SCIENTIFIC DISCIPLINES AND THE EFFECTS FOR FIELDS OF STUDY: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FFFFFF" w:val="clear"/>
                <w:lang w:val="en-US"/>
              </w:rPr>
              <w:t>Symbols for outcomes related to the discipline: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color w:val="000000"/>
                <w:kern w:val="0"/>
                <w:sz w:val="24"/>
                <w:szCs w:val="24"/>
                <w:highlight w:val="white"/>
                <w:lang w:val="en-US" w:eastAsia="en-US" w:bidi="ar-SA"/>
              </w:rPr>
              <w:t xml:space="preserve"/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FFFFFF" w:val="clear"/>
                <w:lang w:val="en-US"/>
              </w:rPr>
              <w:t>Symbols for outcomes related to the field of study: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color w:val="000000"/>
                <w:kern w:val="0"/>
                <w:sz w:val="24"/>
                <w:szCs w:val="24"/>
                <w:highlight w:val="white"/>
                <w:lang w:val="en-US" w:eastAsia="en-US" w:bidi="ar-SA"/>
              </w:rPr>
              <w:t xml:space="preserve"/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en-US" w:eastAsia="en-US" w:bidi="ar-SA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LEARNING OUTCOMES (</w:t>
            </w: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Knowledge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Skills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4"/>
                <w:szCs w:val="24"/>
                <w:lang w:val="en-US" w:eastAsia="en-US" w:bidi="ar-SA"/>
              </w:rPr>
              <w:t>Social competence</w:t>
            </w:r>
            <w:r>
              <w:rPr>
                <w:b/>
                <w:bCs/>
                <w:sz w:val="24"/>
                <w:szCs w:val="24"/>
                <w:lang w:val="en-US"/>
              </w:rPr>
              <w:t>):</w:t>
            </w:r>
          </w:p>
          <w:tbl>
            <w:tblPr>
              <w:tblW w:w="8288" w:type="dxa"/>
              <w:jc w:val="left"/>
              <w:tblInd w:w="0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</w:tblPr>
            <w:tblGrid>
              <w:gridCol w:w="721"/>
              <w:gridCol w:w="7566"/>
            </w:tblGrid>
            <w:tr>
              <w:trPr/>
              <w:tc>
                <w:tcPr>
                  <w:tcW w:w="72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22"/>
                      <w:szCs w:val="22"/>
                      <w:highlight w:val="white"/>
                      <w:u w:val="single"/>
                      <w:lang w:val="pl-PL" w:eastAsia="en-US" w:bidi="ar-SA"/>
                    </w:rPr>
                    <w:t xml:space="preserve">K1</w:t>
                  </w: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 </w:t>
                  </w:r>
                </w:p>
              </w:tc>
              <w:tc>
                <w:tcPr>
                  <w:tcW w:w="756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K.3 Respects medical confidentiality and patient's rights.</w:t>
                  </w:r>
                </w:p>
              </w:tc>
            </w:tr>
            <w:tr>
              <w:trPr/>
              <w:tc>
                <w:tcPr>
                  <w:tcW w:w="72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22"/>
                      <w:szCs w:val="22"/>
                      <w:highlight w:val="white"/>
                      <w:u w:val="single"/>
                      <w:lang w:val="pl-PL" w:eastAsia="en-US" w:bidi="ar-SA"/>
                    </w:rPr>
                    <w:t xml:space="preserve">K2</w:t>
                  </w: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 </w:t>
                  </w:r>
                </w:p>
              </w:tc>
              <w:tc>
                <w:tcPr>
                  <w:tcW w:w="756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K2 - K.5 He is aware of his own limitations and the ability to con</w:t>
                  </w:r>
                </w:p>
              </w:tc>
            </w:tr>
            <w:tr>
              <w:trPr/>
              <w:tc>
                <w:tcPr>
                  <w:tcW w:w="72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22"/>
                      <w:szCs w:val="22"/>
                      <w:highlight w:val="white"/>
                      <w:u w:val="single"/>
                      <w:lang w:val="pl-PL" w:eastAsia="en-US" w:bidi="ar-SA"/>
                    </w:rPr>
                    <w:t xml:space="preserve">K3</w:t>
                  </w: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 </w:t>
                  </w:r>
                </w:p>
              </w:tc>
              <w:tc>
                <w:tcPr>
                  <w:tcW w:w="756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K.2 Guided by the good of the patient putting them in the first place.</w:t>
                  </w:r>
                </w:p>
              </w:tc>
            </w:tr>
            <w:tr>
              <w:trPr/>
              <w:tc>
                <w:tcPr>
                  <w:tcW w:w="72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22"/>
                      <w:szCs w:val="22"/>
                      <w:highlight w:val="white"/>
                      <w:u w:val="single"/>
                      <w:lang w:val="pl-PL" w:eastAsia="en-US" w:bidi="ar-SA"/>
                    </w:rPr>
                    <w:t xml:space="preserve">U1</w:t>
                  </w: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 </w:t>
                  </w:r>
                </w:p>
              </w:tc>
              <w:tc>
                <w:tcPr>
                  <w:tcW w:w="756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F.U21 Evaluates the condition of unconscious patients and determines according to the international scales</w:t>
                    <w:br/>
                    <w:t xml:space="preserve">in force dotted</w:t>
                  </w:r>
                </w:p>
              </w:tc>
            </w:tr>
            <w:tr>
              <w:trPr/>
              <w:tc>
                <w:tcPr>
                  <w:tcW w:w="72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22"/>
                      <w:szCs w:val="22"/>
                      <w:highlight w:val="white"/>
                      <w:u w:val="single"/>
                      <w:lang w:val="pl-PL" w:eastAsia="en-US" w:bidi="ar-SA"/>
                    </w:rPr>
                    <w:t xml:space="preserve">U2</w:t>
                  </w: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 </w:t>
                  </w:r>
                </w:p>
              </w:tc>
              <w:tc>
                <w:tcPr>
                  <w:tcW w:w="756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- F.U7 Evaluates the result of a radiological examination in the most common types of long bone fractures</w:t>
                  </w:r>
                </w:p>
              </w:tc>
            </w:tr>
            <w:tr>
              <w:trPr/>
              <w:tc>
                <w:tcPr>
                  <w:tcW w:w="72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22"/>
                      <w:szCs w:val="22"/>
                      <w:highlight w:val="white"/>
                      <w:u w:val="single"/>
                      <w:lang w:val="pl-PL" w:eastAsia="en-US" w:bidi="ar-SA"/>
                    </w:rPr>
                    <w:t xml:space="preserve">U3</w:t>
                  </w: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 </w:t>
                  </w:r>
                </w:p>
              </w:tc>
              <w:tc>
                <w:tcPr>
                  <w:tcW w:w="756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F.U22 Recognizes the symptoms of increasing intracranial pressure</w:t>
                  </w:r>
                </w:p>
              </w:tc>
            </w:tr>
            <w:tr>
              <w:trPr/>
              <w:tc>
                <w:tcPr>
                  <w:tcW w:w="72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22"/>
                      <w:szCs w:val="22"/>
                      <w:highlight w:val="white"/>
                      <w:u w:val="single"/>
                      <w:lang w:val="pl-PL" w:eastAsia="en-US" w:bidi="ar-SA"/>
                    </w:rPr>
                    <w:t xml:space="preserve">W1</w:t>
                  </w: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 </w:t>
                  </w:r>
                </w:p>
              </w:tc>
              <w:tc>
                <w:tcPr>
                  <w:tcW w:w="756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F.W1. causes, symptoms, principles of diagnostic and therapeutic procedures for the most common</w:t>
                    <w:br/>
                    <w:t xml:space="preserve">diseases requiring surgical intervention, both adults and children, in particular: 1) acute and chronic abdominal</w:t>
                    <w:br/>
                    <w:t xml:space="preserve">diseases, 2) chest diseases, 3) limb and head diseases, 4) bone fractures and organ injuries;</w:t>
                  </w:r>
                </w:p>
              </w:tc>
            </w:tr>
            <w:tr>
              <w:trPr/>
              <w:tc>
                <w:tcPr>
                  <w:tcW w:w="72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22"/>
                      <w:szCs w:val="22"/>
                      <w:highlight w:val="white"/>
                      <w:u w:val="single"/>
                      <w:lang w:val="pl-PL" w:eastAsia="en-US" w:bidi="ar-SA"/>
                    </w:rPr>
                    <w:t xml:space="preserve">W2</w:t>
                  </w: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 </w:t>
                  </w:r>
                </w:p>
              </w:tc>
              <w:tc>
                <w:tcPr>
                  <w:tcW w:w="756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F.W7 He knows the current guidelines for cardiopulmonary resuscitation of newborns, children and adults</w:t>
                  </w:r>
                </w:p>
              </w:tc>
            </w:tr>
            <w:tr>
              <w:trPr/>
              <w:tc>
                <w:tcPr>
                  <w:tcW w:w="721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22"/>
                      <w:szCs w:val="22"/>
                      <w:highlight w:val="white"/>
                      <w:u w:val="single"/>
                      <w:lang w:val="pl-PL" w:eastAsia="en-US" w:bidi="ar-SA"/>
                    </w:rPr>
                    <w:t xml:space="preserve">W3</w:t>
                  </w: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 </w:t>
                  </w:r>
                </w:p>
              </w:tc>
              <w:tc>
                <w:tcPr>
                  <w:tcW w:w="756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highlight w:val="white"/>
                      <w:lang w:val="pl-PL" w:eastAsia="en-US" w:bidi="ar-SA"/>
                    </w:rPr>
                    <w:t xml:space="preserve">F.W10 He possesses knowledge in the field of currently used imaging research, in particular he knows:</w:t>
                    <w:br/>
                    <w:t xml:space="preserve">radiological symptomatology of basic diseases, instrumental methods and imaging techniques used to perform</w:t>
                    <w:br/>
                    <w:t xml:space="preserve">therapeutic procedures, indications and contraindications, and preparation of patients for particular types of</w:t>
                    <w:br/>
                    <w:t xml:space="preserve">imaging examinations and contraindications to the use of catastrophic agents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TEACHING FORMS AND METHODS:</w:t>
            </w:r>
          </w:p>
          <w:tbl>
            <w:tblPr>
              <w:tblStyle w:val="Tabela-Siatka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8159"/>
            </w:tblGrid>
            <w:tr>
              <w:trPr/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both"/>
                    <w:rPr/>
                  </w:pPr>
                  <w:r>
                    <w:rPr/>
                    <w:t xml:space="preserve">Classes-['W1', 'U1', 'K1', 'W2', 'U2', 'K2', 'W3', 'U3', 'K3']-practical cliniclal slasses-1. A patient with a multi-organ trauma. Proceedings in the Hospital Emergency Department. The role of the Trauma Center in the care of the injured with multiple injuries. 2. Non-orthopedic dangers. Improving the ability to examine patients with isolated injuries, X-ray analysis and supplying fractures and dislocations. P-pain treatment.3. Stomach pain. Bleeding to the gastrointestinal tract. Abdominal aortic aneurysm. Peritonitis. Diagnosis and proceedings in SKOR.
</w:t>
                    <w:br/>
                    <w:t xml:space="preserve">.4 Emergency in neurology. Patient with consciousness disorders.
</w:t>
                    <w:br/>
                    <w:t xml:space="preserve">Loss of consciousness - diagnostics in SOR. Stroke Headaches - differential diagnosis (SAH), p-pain treatments in SOR.5. Respiratory disorders. Acute respiratory failure. Indications for respiratorotherapy. Non-invasive ventilation and its application in PPR. Exercising the skills of supplying the lower respiratory tract. 6. Acute poisoning - diagnostic possibilities in SOR, conduct. Cholinolytic, cholinergic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z w:val="24"/>
                <w:szCs w:val="24"/>
              </w:rPr>
              <w:t xml:space="preserve">FORM AND CONDITIONS OF VERIFYING LEARNING OUTCOMES:</w:t>
            </w:r>
          </w:p>
          <w:tbl>
            <w:tblPr>
              <w:tblStyle w:val="Tabela-Siatka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8159"/>
            </w:tblGrid>
            <w:tr>
              <w:trPr/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spacing w:lineRule="auto" w:line="240" w:before="0" w:after="0"/>
                    <w:jc w:val="both"/>
                    <w:rPr/>
                  </w:pPr>
                  <w:r>
                    <w:rPr/>
                    <w:t xml:space="preserve">Classes-(Exam)-['W1', 'U1', 'K1', 'W2', 'U2', 'K2', 'W3', 'U3', 'K3']-3part -test, practical , oral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b/>
                <w:bCs/>
                <w:sz w:val="24"/>
                <w:szCs w:val="24"/>
                <w:u w:val="none"/>
              </w:rPr>
              <w:t>Literatur</w:t>
            </w: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4"/>
                <w:szCs w:val="24"/>
                <w:u w:val="none"/>
                <w:lang w:val="pl-PL" w:eastAsia="en-US" w:bidi="ar-SA"/>
              </w:rPr>
              <w:t>e</w:t>
            </w:r>
            <w:r>
              <w:rPr>
                <w:b/>
                <w:bCs/>
                <w:sz w:val="24"/>
                <w:szCs w:val="24"/>
                <w:u w:val="none"/>
              </w:rPr>
              <w:t>:</w:t>
            </w:r>
          </w:p>
          <w:tbl>
            <w:tblPr>
              <w:tblW w:w="8284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84"/>
            </w:tblGrid>
            <w:tr>
              <w:trPr/>
              <w:tc>
                <w:tcPr>
                  <w:tcW w:w="8284" w:type="dxa"/>
                  <w:tcBorders/>
                </w:tcPr>
                <w:p>
                  <w:pPr>
                    <w:pStyle w:val="TableContents"/>
                    <w:spacing w:before="0" w:after="160"/>
                    <w:rPr/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1.  </w:t>
                  </w:r>
                  <w:r>
                    <w:rPr>
                      <w:rFonts w:eastAsia="Calibri" w:cs="" w:cstheme="minorBidi" w:eastAsiaTheme="minorHAnsi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GUIDELINES 2021</w:t>
                  </w: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, ERC,  ERC, 2021, Strony: , Tom:  (literatura podstawowa) </w:t>
                  </w:r>
                </w:p>
              </w:tc>
            </w:tr>
            <w:tr>
              <w:trPr/>
              <w:tc>
                <w:tcPr>
                  <w:tcW w:w="8284" w:type="dxa"/>
                  <w:tcBorders/>
                </w:tcPr>
                <w:p>
                  <w:pPr>
                    <w:pStyle w:val="TableContents"/>
                    <w:spacing w:before="0" w:after="160"/>
                    <w:rPr/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2.  </w:t>
                  </w:r>
                  <w:r>
                    <w:rPr>
                      <w:rFonts w:eastAsia="Calibri" w:cs="" w:cstheme="minorBidi" w:eastAsiaTheme="minorHAnsi"/>
                      <w:b/>
                      <w:bCs/>
                      <w:i/>
                      <w:iCs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Tintinalli's Emergency Medicine, 9th editions</w:t>
                  </w: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22"/>
                      <w:szCs w:val="22"/>
                      <w:lang w:val="pl-PL" w:eastAsia="en-US" w:bidi="ar-SA"/>
                    </w:rPr>
                    <w:t xml:space="preserve">, J. TINTINALLI,  MC GROW HILL, 2019, Strony: , Tom:  (literatura podstawowa) 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tbl>
            <w:tblPr>
              <w:tblStyle w:val="Tabela-Siatka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817"/>
            </w:tblGrid>
            <w:tr>
              <w:trPr>
                <w:trHeight w:val="3513" w:hRule="atLeast"/>
              </w:trPr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F2F2F2" w:themeFill="background1" w:themeFillShade="f2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Legal acts specifying learning outcomes:</w:t>
                  </w:r>
                  <w:r>
                    <w:rPr>
                      <w:b w:val="false"/>
                      <w:bCs w:val="false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Status of the course: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b w:val="false"/>
                      <w:bCs w:val="false"/>
                      <w:sz w:val="16"/>
                      <w:szCs w:val="16"/>
                      <w:lang w:val="en-US"/>
                    </w:rPr>
                    <w:t xml:space="preserve"/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Group of courses:</w:t>
                  </w:r>
                  <w:r>
                    <w:rPr>
                      <w:b w:val="false"/>
                      <w:bCs w:val="false"/>
                      <w:sz w:val="16"/>
                      <w:szCs w:val="16"/>
                      <w:lang w:val="en-US"/>
                    </w:rPr>
                    <w:t xml:space="preserve"/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Calibri" w:cs="" w:asciiTheme="minorHAnsi" w:cstheme="minorBidi" w:eastAsiaTheme="minorHAnsi" w:hAnsiTheme="minorHAnsi"/>
                      <w:b w:val="false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pl-PL" w:eastAsia="en-US" w:bidi="ar-SA"/>
                    </w:rPr>
                    <w:t>Discipline</w:t>
                  </w:r>
                  <w:r>
                    <w:rPr>
                      <w:rFonts w:eastAsia="Calibri" w:cs="" w:cstheme="minorBidi" w:eastAsiaTheme="minorHAnsi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>: Medicine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Calibri" w:cs="" w:asciiTheme="minorHAnsi" w:cstheme="minorBidi" w:eastAsiaTheme="minorHAnsi" w:hAnsiTheme="minorHAnsi"/>
                      <w:b w:val="false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pl-PL" w:eastAsia="en-US" w:bidi="ar-SA"/>
                    </w:rPr>
                    <w:t xml:space="preserve">Program:  </w:t>
                  </w:r>
                  <w:r>
                    <w:rPr>
                      <w:rFonts w:eastAsia="Calibri" w:cs="" w:cstheme="minorBidi" w:eastAsiaTheme="minorHAnsi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>Medicine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>Form of studies:</w:t>
                  </w:r>
                  <w:r>
                    <w:rPr>
                      <w:rFonts w:eastAsia="Calibri" w:cs="" w:cstheme="minorBidi" w:eastAsiaTheme="minorHAnsi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>full-time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pl-PL" w:eastAsia="en-US" w:bidi="ar-SA"/>
                    </w:rPr>
                    <w:t xml:space="preserve">Level of studies: </w:t>
                  </w:r>
                  <w:r>
                    <w:rPr>
                      <w:rFonts w:eastAsia="Calibri" w:cs="" w:cstheme="minorBidi" w:eastAsiaTheme="minorHAnsi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>uniform master's studies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Calibri" w:cs="" w:asciiTheme="minorHAnsi" w:cstheme="minorBidi" w:eastAsiaTheme="minorHAnsi" w:hAnsiTheme="minorHAnsi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</w:r>
          </w:p>
          <w:tbl>
            <w:tblPr>
              <w:tblStyle w:val="Tabela-Siatka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817"/>
            </w:tblGrid>
            <w:tr>
              <w:trPr>
                <w:trHeight w:val="1625" w:hRule="atLeast"/>
              </w:trPr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F2F2F2" w:themeFill="background1" w:themeFillShade="f2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>Introductory subject</w:t>
                  </w: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eastAsia="Calibri" w:cs="" w:cstheme="minorBidi" w:eastAsiaTheme="minorHAnsi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>Pediatrics, Neurosurgery, Internal Medicine,</w:t>
                    <w:br/>
                    <w:t xml:space="preserve">Surgery, Neurology, Radiology, Orthopedics</w:t>
                    <w:br/>
                    <w:t xml:space="preserve">and Traumatology, Anaesthesiology and</w:t>
                    <w:br/>
                    <w:t xml:space="preserve">intensive care,Emergency medicine with</w:t>
                    <w:br/>
                    <w:t xml:space="preserve">elements of disaster medicine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Prerequisites: </w:t>
                  </w:r>
                  <w:r>
                    <w:rPr>
                      <w:rFonts w:eastAsia="Calibri" w:cs="" w:cstheme="minorBidi" w:eastAsiaTheme="minorHAnsi"/>
                      <w:b w:val="false"/>
                      <w:bCs w:val="false"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>basic information from the enumerated</w:t>
                    <w:br/>
                    <w:t xml:space="preserve">subjects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</w:r>
          </w:p>
          <w:tbl>
            <w:tblPr>
              <w:tblStyle w:val="Tabela-Siatka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2817"/>
            </w:tblGrid>
            <w:tr>
              <w:trPr>
                <w:trHeight w:val="988" w:hRule="atLeast"/>
              </w:trPr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color="auto" w:fill="F2F2F2" w:themeFill="background1" w:themeFillShade="f2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Calibri" w:cs="" w:asciiTheme="minorHAnsi" w:cstheme="minorBidi" w:eastAsiaTheme="minorHAnsi" w:hAnsiTheme="minorHAnsi"/>
                      <w:b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>Coordinators: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Calibri" w:cs="" w:asciiTheme="minorHAnsi" w:cstheme="minorBidi" w:eastAsiaTheme="minorHAnsi" w:hAnsiTheme="minorHAnsi"/>
                      <w:b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/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Calibri" w:cs="" w:asciiTheme="minorHAnsi" w:cstheme="minorBidi" w:eastAsiaTheme="minorHAnsi" w:hAnsiTheme="minorHAnsi"/>
                      <w:b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>Rakesh Jalali, rakesh.jalali@uwm.edu.pl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Calibri" w:hAnsi="Calibri" w:eastAsia="Calibri" w:cs="" w:asciiTheme="minorHAnsi" w:cstheme="minorBidi" w:eastAsiaTheme="minorHAnsi" w:hAnsiTheme="minorHAnsi"/>
                      <w:b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eastAsia="Calibri" w:cs="" w:cstheme="minorBidi" w:eastAsiaTheme="minorHAnsi"/>
                      <w:b/>
                      <w:bCs/>
                      <w:color w:val="auto"/>
                      <w:kern w:val="0"/>
                      <w:sz w:val="16"/>
                      <w:szCs w:val="16"/>
                      <w:lang w:val="en-US" w:eastAsia="en-US" w:bidi="ar-SA"/>
                    </w:rPr>
                    <w:t xml:space="preserve"/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</w:r>
          </w:p>
        </w:tc>
      </w:tr>
    </w:tbl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sectPr>
          <w:type w:val="nextPage"/>
          <w:pgSz w:w="11906" w:h="16838"/>
          <w:pgMar w:left="284" w:right="284" w:header="0" w:top="284" w:footer="0" w:bottom="28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tbl>
      <w:tblPr>
        <w:tblStyle w:val="Tabela-Siatka"/>
        <w:tblW w:w="113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35"/>
        <w:gridCol w:w="8502"/>
      </w:tblGrid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360045" distB="360045" distL="114300" distR="114300" simplePos="0" locked="0" layoutInCell="1" allowOverlap="1" relativeHeight="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sz w:val="32"/>
                <w:szCs w:val="32"/>
                <w:lang w:val="en-US"/>
              </w:rPr>
            </w:pPr>
            <w:r>
              <w:rPr>
                <w:rFonts w:cs="Calibri" w:cstheme="minorHAnsi"/>
                <w:sz w:val="28"/>
                <w:szCs w:val="28"/>
                <w:lang w:val="en-US"/>
              </w:rPr>
              <w:t>UNIVERSITY OF WARMIA AND MAZURY IN OLSZTYN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  <w:t xml:space="preserve"/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  <w:t>Detailed description of ECTS credits awarded - part B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8"/>
                <w:szCs w:val="28"/>
                <w:lang w:val="pl-PL" w:eastAsia="en-US" w:bidi="ar-SA"/>
              </w:rPr>
              <w:t xml:space="preserve">48SJ-EMME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Emergency Medicine</w:t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4.00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22"/>
          <w:szCs w:val="22"/>
          <w:lang w:val="pl-PL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r>
    </w:p>
    <w:p>
      <w:pPr>
        <w:pStyle w:val="Normal"/>
        <w:rPr>
          <w:lang w:val="en-US"/>
        </w:rPr>
      </w:pPr>
      <w:r>
        <w:rPr>
          <w:lang w:val="en-US"/>
        </w:rPr>
        <w:t>The number of ECTS credits awarded consists of:</w:t>
      </w:r>
    </w:p>
    <w:p>
      <w:pPr>
        <w:pStyle w:val="Normal"/>
        <w:rPr>
          <w:lang w:val="en-US"/>
        </w:rPr>
      </w:pPr>
      <w:r>
        <w:rPr>
          <w:lang w:val="en-US"/>
        </w:rPr>
        <w:t>1. Contact hours with the academic teacher:</w:t>
      </w:r>
    </w:p>
    <w:tbl>
      <w:tblPr>
        <w:tblStyle w:val="Tabela-Siatka"/>
        <w:tblW w:w="113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728"/>
        <w:gridCol w:w="2605"/>
      </w:tblGrid>
      <w:tr>
        <w:trPr/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- </w:t>
            </w:r>
            <w:r>
              <w:rPr>
                <w:lang w:val="en-US"/>
              </w:rPr>
              <w:t>participation in</w:t>
            </w:r>
            <w:r>
              <w:rPr/>
              <w:t xml:space="preserve">: 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 xml:space="preserve">60 h</w:t>
            </w:r>
          </w:p>
        </w:tc>
      </w:tr>
      <w:tr>
        <w:trPr/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-  </w:t>
            </w:r>
            <w:r>
              <w:rPr>
                <w:lang w:val="en-US"/>
              </w:rPr>
              <w:t>consultation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 xml:space="preserve">5 h</w:t>
            </w:r>
          </w:p>
        </w:tc>
      </w:tr>
      <w:tr>
        <w:trPr/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Total</w:t>
            </w:r>
            <w:r>
              <w:rPr/>
              <w:t xml:space="preserve">: 65 h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 xml:space="preserve">2. </w:t>
      </w:r>
      <w:r>
        <w:rPr>
          <w:lang w:val="en-US"/>
        </w:rPr>
        <w:t>Independent work of a student:</w:t>
      </w:r>
    </w:p>
    <w:tbl>
      <w:tblPr>
        <w:tblStyle w:val="Tabela-Siatka"/>
        <w:tblW w:w="113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718"/>
        <w:gridCol w:w="2614"/>
      </w:tblGrid>
      <w:tr>
        <w:trPr/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360"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  <w:t xml:space="preserve">przygotowanie do zaliczenia przedmiotu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360" w:before="0" w:after="0"/>
              <w:jc w:val="right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  <w:t xml:space="preserve">15.00 h</w:t>
            </w:r>
          </w:p>
        </w:tc>
      </w:tr>
      <w:tr>
        <w:trPr/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360"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  <w:t xml:space="preserve">praca własna - przygotowanie do zajęć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360" w:before="0" w:after="0"/>
              <w:jc w:val="right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  <w:t xml:space="preserve">20.00 h</w:t>
            </w:r>
          </w:p>
        </w:tc>
      </w:tr>
      <w:tr>
        <w:trPr>
          <w:trHeight w:val="313" w:hRule="atLeast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Calibri" w:cs="" w:asciiTheme="minorHAnsi" w:cstheme="minorBidi" w:eastAsiaTheme="minorHAnsi" w:hAnsiTheme="minorHAns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2"/>
                <w:szCs w:val="22"/>
                <w:u w:val="none"/>
                <w:lang w:val="pl-PL" w:eastAsia="en-US" w:bidi="ar-SA"/>
              </w:rPr>
              <w:t xml:space="preserve">Total: 35.00 h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color w:val="C9211E"/>
        </w:rPr>
      </w:pPr>
      <w:r>
        <w:rPr>
          <w:b/>
          <w:bCs/>
          <w:color w:val="C9211E"/>
        </w:rPr>
      </w:r>
    </w:p>
    <w:p>
      <w:pPr>
        <w:pStyle w:val="Normal"/>
        <w:jc w:val="right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Total (contact hours + independent work of a student)</w:t>
      </w:r>
      <w:r>
        <w:rPr/>
        <w:t xml:space="preserve">: 100.00 h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rPr/>
      </w:pPr>
      <w:r>
        <w:rPr/>
        <w:t xml:space="preserve">1 ECTS credit = 25-30 h of an average student’s work, number of ECTS, </w:t>
      </w:r>
    </w:p>
    <w:p>
      <w:pPr>
        <w:pStyle w:val="Normal"/>
        <w:rPr/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ECTS Points</w:t>
      </w:r>
      <w:r>
        <w:rPr/>
        <w:t xml:space="preserve"> = 100.00</w:t>
      </w:r>
      <w:r>
        <w:rPr/>
        <w:t xml:space="preserve"> h :  25 h/ECTS = </w:t>
      </w: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 xml:space="preserve">4.00</w:t>
      </w:r>
      <w:r>
        <w:rPr/>
        <w:t xml:space="preserve"> ECTS </w:t>
      </w:r>
    </w:p>
    <w:p>
      <w:pPr>
        <w:pStyle w:val="Normal"/>
        <w:rPr>
          <w:b/>
          <w:b/>
          <w:bCs/>
        </w:rPr>
      </w:pP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Average</w:t>
      </w:r>
      <w:r>
        <w:rPr/>
        <w:t xml:space="preserve">: 4.00  ECTS</w:t>
      </w:r>
    </w:p>
    <w:tbl>
      <w:tblPr>
        <w:tblStyle w:val="Tabela-Siatka"/>
        <w:tblW w:w="113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79"/>
        <w:gridCol w:w="1548"/>
      </w:tblGrid>
      <w:tr>
        <w:trPr/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- </w:t>
            </w:r>
            <w:r>
              <w:rPr>
                <w:lang w:val="en-US"/>
              </w:rPr>
              <w:t>including the number of ECTS credits for contact hours with the direct participation of an academic teacher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2.60 ECTS</w:t>
            </w:r>
          </w:p>
        </w:tc>
      </w:tr>
      <w:tr>
        <w:trPr/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-  </w:t>
            </w:r>
            <w:r>
              <w:rPr>
                <w:lang w:val="en-US"/>
              </w:rPr>
              <w:t>including the number of ECTS credits for hours of independent work of a student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1.40 ECTS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284" w:right="284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42f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qFormat/>
    <w:rsid w:val="00a464d2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168f1"/>
    <w:pPr>
      <w:spacing w:before="0" w:after="160"/>
      <w:ind w:left="720" w:hanging="0"/>
      <w:contextualSpacing/>
    </w:pPr>
    <w:rPr/>
  </w:style>
  <w:style w:type="paragraph" w:styleId="HTMLPreformatted">
    <w:name w:val="HTML Preformatted"/>
    <w:basedOn w:val="Normal"/>
    <w:link w:val="HTML-wstpniesformatowanyZnak"/>
    <w:uiPriority w:val="99"/>
    <w:unhideWhenUsed/>
    <w:qFormat/>
    <w:rsid w:val="00a464d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NoSpacing">
    <w:name w:val="No Spacing"/>
    <w:uiPriority w:val="1"/>
    <w:qFormat/>
    <w:rsid w:val="00d2581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35f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20167</TotalTime>
  <Application>LibreOffice/6.4.7.2$Linux_X86_64 LibreOffice_project/40$Build-2</Application>
  <Pages>3</Pages>
  <Words>401</Words>
  <Characters>3215</Characters>
  <CharactersWithSpaces>3549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2021-03-05T07:42:00Z</dcterms:created>
  <dc:creator>UWM</dc:creator>
  <dc:description/>
  <dc:language>en-US</dc:language>
  <cp:lastModifiedBy/>
  <dcterms:modified xsi:type="dcterms:W3CDTF">2025-04-10T09:19:57Z</dcterms:modified>
  <cp:revision>850</cp:revision>
  <dc:subject/>
  <dc:title/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