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C3C0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Uniwersytet Warmińsko-Mazurski w Olsztynie</w:t>
      </w:r>
    </w:p>
    <w:p w14:paraId="7F2C7264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Collegium Medicum</w:t>
      </w:r>
    </w:p>
    <w:p w14:paraId="672D57C4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Wydział Lekarski</w:t>
      </w:r>
    </w:p>
    <w:p w14:paraId="518CFAB4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 </w:t>
      </w:r>
    </w:p>
    <w:p w14:paraId="287AB8F0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REGULAMIN ZAJĘĆ Z Geriatrii</w:t>
      </w:r>
    </w:p>
    <w:p w14:paraId="07159819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dla studentów Kierunku Lekarskiego Wydziału Lekarskiego Collegium Medicum Uniwersytetu Warmińsko-Mazurskiego w Olsztynie</w:t>
      </w:r>
    </w:p>
    <w:p w14:paraId="6278A071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1. Informacje ogólne</w:t>
      </w:r>
    </w:p>
    <w:p w14:paraId="48AFF314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1.1  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Zajęcia realizowane są przez Katedrę Medycyny Rodzinnej i Chorób Zakaźnych.</w:t>
      </w:r>
    </w:p>
    <w:p w14:paraId="210D32EA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1.2  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Pracownicy odpowiedzialni za realizację przedmiotu: </w:t>
      </w:r>
    </w:p>
    <w:p w14:paraId="1266FD06" w14:textId="77777777" w:rsidR="00E91FB5" w:rsidRDefault="00000000" w:rsidP="00610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Koordynator przedmiotu – dr n. med. Małgorzata Stompór</w:t>
      </w:r>
    </w:p>
    <w:p w14:paraId="140583A2" w14:textId="77777777" w:rsidR="00E91FB5" w:rsidRDefault="00000000" w:rsidP="00610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Osoby odpowiedzialne za realizację poszczególnych rodzajów zajęć – dr n. med. Małgorzata Stompór</w:t>
      </w:r>
    </w:p>
    <w:p w14:paraId="32979706" w14:textId="4C33914A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1.</w:t>
      </w:r>
      <w:r w:rsidR="0098373D"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3</w:t>
      </w: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  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Miejsce, czas oraz tematykę poszczególnych form zajęć i zaliczeń określają dokumenty: plan studiów, sylabus, harmonogram i tematyka zajęć.</w:t>
      </w:r>
    </w:p>
    <w:p w14:paraId="66631CB4" w14:textId="5B8003B7" w:rsidR="000965A1" w:rsidRDefault="00000000" w:rsidP="000965A1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 xml:space="preserve">Zajęcia dydaktyczne </w:t>
      </w:r>
      <w:r w:rsidR="000965A1"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 xml:space="preserve">realizowane są stacjonarnie i </w:t>
      </w: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mają formę</w:t>
      </w:r>
      <w:r w:rsidR="000965A1"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:</w:t>
      </w:r>
    </w:p>
    <w:p w14:paraId="43B41B84" w14:textId="26EBC320" w:rsidR="00E91FB5" w:rsidRPr="000965A1" w:rsidRDefault="00000000" w:rsidP="000965A1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 w:rsidRPr="000965A1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Wykładów –</w:t>
      </w:r>
      <w:r w:rsidR="000965A1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8h odbywają się w salach wykładowych UWM</w:t>
      </w:r>
    </w:p>
    <w:p w14:paraId="6F9081B9" w14:textId="3117110A" w:rsidR="00E91FB5" w:rsidRDefault="00000000" w:rsidP="000965A1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Ćwiczeń </w:t>
      </w:r>
      <w:r w:rsidR="000965A1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klinicznych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– </w:t>
      </w:r>
      <w:r w:rsidR="000965A1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12h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odbywają się w Zespole Zakładów Opieki Zdrowotnej w Dobrym Mieście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 xml:space="preserve">oraz w Oddziale Geriatrycznym Szpitala w Nidzicy </w:t>
      </w:r>
    </w:p>
    <w:p w14:paraId="15CD9031" w14:textId="7C51721F" w:rsidR="00E91FB5" w:rsidRDefault="00000000" w:rsidP="000965A1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Seminariów –</w:t>
      </w:r>
      <w:r w:rsidR="000965A1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10h form stacjonarnej</w:t>
      </w:r>
    </w:p>
    <w:p w14:paraId="0A21768E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2. Zasady uczestnictwa studenta na poszczególnych formach zajęć </w:t>
      </w:r>
      <w:r>
        <w:rPr>
          <w:rFonts w:ascii="Tahoma" w:eastAsia="Times New Roman" w:hAnsi="Tahoma" w:cs="Tahoma"/>
          <w:i/>
          <w:iCs/>
          <w:color w:val="4E5664"/>
          <w:kern w:val="0"/>
          <w:sz w:val="21"/>
          <w:szCs w:val="21"/>
          <w:lang w:eastAsia="pl-PL"/>
          <w14:ligatures w14:val="none"/>
        </w:rPr>
        <w:t>(ubiór, zachowanie studenta na zajęciach itp.)</w:t>
      </w:r>
    </w:p>
    <w:p w14:paraId="40CDD564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Zakaz nagrywania, nagrywania i fotografowania.</w:t>
      </w:r>
    </w:p>
    <w:p w14:paraId="338032D3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Zajęcia praktyczne prowadzone są w oparciu o programy nauczania i plany studiów. Studenci są zobowiązani do uczęszczania na zajęcia według programu i planu dla grupy, do której są przypisani.</w:t>
      </w:r>
    </w:p>
    <w:p w14:paraId="582A85CB" w14:textId="3008E6ED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Przed wejściem na zajęcia uczniowie powinni zostawić kurtki i płaszcze w szatni. Na zajęciach praktycznych obowiązuje ubiór ochronny (fartuchy). Wszystkie ubrania powinny pozostać czyste 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br/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i zadbane. Studenci są zobowiązani do noszenia przez cały czas swojego osobistego identyfikatora. Studenci mogą nie zostać dopuszczeni do udziału w zajęciach bez odpowiedniego ubioru, w związku z czym będą musieli powtórzyć zajęcia w innym terminie.</w:t>
      </w:r>
    </w:p>
    <w:p w14:paraId="725B9EF9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Uczniowie są zobowiązani do ciągłego utrzymywania swojego otoczenia w czystości. Palenie jest zabronione we wszystkich obiektach szpitalnych. Uczniowie mogą spożywać posiłki tylko w czasie przerw.</w:t>
      </w:r>
    </w:p>
    <w:p w14:paraId="3FEEBBAE" w14:textId="0941CB8F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Student zobowiązany jest do zapoznania się z zasadami BHP w miejscu prowadzenia zajęć oraz 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br/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z unijną dyrektywą RODO. Studenci muszą przestrzegać ogólnych zasad bezpieczeństwa (BHP) 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br/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i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rozporządzenia RODO UE podczas wszystkich zajęć.</w:t>
      </w:r>
    </w:p>
    <w:p w14:paraId="44A2DA8D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lastRenderedPageBreak/>
        <w:t>W sali seminaryjnej studenci mogą przebywać tylko z prowadzącym. Uczniowie nie mogą opuścić zajęć bez zgody nauczyciela. Zajęcia praktyczne odbywają się na poszczególnych oddziałach szpitala.</w:t>
      </w:r>
    </w:p>
    <w:p w14:paraId="475BA644" w14:textId="0C770455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Studenci są zobowiązani do zapoznania się z materiałami informacyjnymi i wiedzą określoną 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br/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w programie nauczania dla poszczególnych ćwiczeń i seminariów.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Prowadz</w:t>
      </w:r>
      <w:r w:rsidR="00BB5947"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ą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cy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może sprawdzić poziom wiedzy studentów na podstawie pisemnego lub ustnego testu. Studenci są zobowiązani do aktywnego uczestnictwa w zajęciach/seminariach i udziału w dyskusji w podgrupach -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br/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 przeciwnym razie mogą zostać wykluczeni z określonych zajęć/seminariów.</w:t>
      </w:r>
    </w:p>
    <w:p w14:paraId="22066BCD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3. Obecność na zajęciach, sposób usprawiedliwiania i odrabiania nieobecności</w:t>
      </w:r>
    </w:p>
    <w:p w14:paraId="6B625CEE" w14:textId="77777777" w:rsidR="00E91FB5" w:rsidRDefault="00000000" w:rsidP="00610A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Obecność we wszystkich formach zajęć jest obowiązkowa.</w:t>
      </w:r>
    </w:p>
    <w:p w14:paraId="3793FEE9" w14:textId="77777777" w:rsidR="00E91FB5" w:rsidRDefault="00000000" w:rsidP="00610A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Wszystkie nieobecności muszą być usprawiedliwione.</w:t>
      </w:r>
    </w:p>
    <w:p w14:paraId="43A71293" w14:textId="77777777" w:rsidR="00E91FB5" w:rsidRDefault="00000000" w:rsidP="00610A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Student może mieć tylko jedną usprawiedliwioną nieobecność w ciągu całego roku akademickiego bez konieczności odrabiania zajęć. </w:t>
      </w:r>
    </w:p>
    <w:p w14:paraId="7B807AC0" w14:textId="1DC5351B" w:rsidR="00E91FB5" w:rsidRDefault="00000000" w:rsidP="00610A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Sposób usprawiedliwienia nieobecności na poszczególnych formach zajęć (w tym zaliczeniach) odbywa się zgodnie z procedurą określającą zasady usprawiedliwiania nieobecności na zajęciach dydaktycznych, egzaminach i zaliczeniach na Wydziale Lekarskim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.</w:t>
      </w:r>
    </w:p>
    <w:p w14:paraId="0AF2006E" w14:textId="77777777" w:rsidR="00E91FB5" w:rsidRDefault="00000000" w:rsidP="00610A3E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 przypadku 2 i więcej nieobecności:</w:t>
      </w:r>
    </w:p>
    <w:p w14:paraId="01072600" w14:textId="436858B3" w:rsidR="00E91FB5" w:rsidRDefault="00000000" w:rsidP="00610A3E">
      <w:pPr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nieobecność na wykładzie - student zobowiązany jest do zaliczenia ustnego kolokwium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z  materiału  przedstawionego na niezrealizowanym wykładzie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,</w:t>
      </w:r>
    </w:p>
    <w:p w14:paraId="0A497DA8" w14:textId="151F9595" w:rsidR="00E91FB5" w:rsidRDefault="00000000" w:rsidP="00610A3E">
      <w:pPr>
        <w:spacing w:after="0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nieobecność na seminarium lub ćwiczeniach - student zobowiązany jest do powtórzenia seminarium/ćwiczeń z inną grupą. Student jest zobowiązany do odrobienia zaległych zajęć do końca bieżącego semestru.</w:t>
      </w:r>
    </w:p>
    <w:p w14:paraId="40665D97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4. Zasady zaliczenia poszczególnych form zajęć:</w:t>
      </w:r>
    </w:p>
    <w:p w14:paraId="32213ABE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4.1  Wykłady</w:t>
      </w:r>
    </w:p>
    <w:p w14:paraId="3FD754C1" w14:textId="3C2AD27D" w:rsidR="00E91FB5" w:rsidRDefault="00000000" w:rsidP="00610A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Obecność na wszystkich wykładach</w:t>
      </w:r>
    </w:p>
    <w:p w14:paraId="42DB3FC3" w14:textId="2E594BCB" w:rsidR="00E91FB5" w:rsidRDefault="00000000" w:rsidP="00610A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Materiał realizowany w trakcie wykładów wchodzi w zakres tematyczny zaliczenia semestralnego na ocenę</w:t>
      </w:r>
      <w:r w:rsidR="00610A3E">
        <w:rPr>
          <w:rFonts w:ascii="Tahoma" w:eastAsia="Times New Roman" w:hAnsi="Tahoma" w:cs="Tahoma"/>
          <w:i/>
          <w:iCs/>
          <w:color w:val="4E5664"/>
          <w:kern w:val="0"/>
          <w:sz w:val="21"/>
          <w:szCs w:val="21"/>
          <w:lang w:eastAsia="pl-PL"/>
          <w14:ligatures w14:val="none"/>
        </w:rPr>
        <w:t>.</w:t>
      </w:r>
    </w:p>
    <w:p w14:paraId="7029F8E6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4.2 Ćwiczenia</w:t>
      </w:r>
    </w:p>
    <w:p w14:paraId="19CDB1DE" w14:textId="3DA61B0C" w:rsidR="00E91FB5" w:rsidRDefault="00000000" w:rsidP="00610A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Studenci są zobowiązani do zapoznania się z materiałami informacyjnymi i wiedzą określoną w programie nauczania dla poszczególnych ćwiczeń.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Prowadzący zajęcia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może sprawdzić poziom wiedzy studentów na podstawie pisemnego lub ustnego testu. Studenci są zobowiązani do aktywnego uczestnictwa w zajęciach i udziału w dyskusji w podgrupach - w przeciwnym razie mogą zostać wykluczeni z określonych zajęć.</w:t>
      </w:r>
    </w:p>
    <w:p w14:paraId="032D5098" w14:textId="2C5B8A01" w:rsidR="00E91FB5" w:rsidRDefault="00000000" w:rsidP="00610A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Ćwiczenia odbywają się w kontakcie z pacjentami po 60 r. ż.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– w trakcie ćwiczeń studenci uczą się dokonywać kompleksowej oceny geriatrycznej i planować proces diagnostyczno 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–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terapeutyczny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.</w:t>
      </w:r>
    </w:p>
    <w:p w14:paraId="7C797A82" w14:textId="6F477CE5" w:rsidR="00E91FB5" w:rsidRPr="00610A3E" w:rsidRDefault="00000000" w:rsidP="00610A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 w:rsidRP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Oceny końcowa z ćwiczeń odbywa się na podstawie obecności i aktywności studenta na zajęciach.</w:t>
      </w:r>
    </w:p>
    <w:p w14:paraId="5B5DBC45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 </w:t>
      </w: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4.3 Seminarium </w:t>
      </w:r>
    </w:p>
    <w:p w14:paraId="1CAFAD73" w14:textId="75254366" w:rsidR="00E91FB5" w:rsidRDefault="00000000" w:rsidP="00610A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Studenci są zobowiązani do zapoznania się z materiałami informacyjnymi i wiedzą określoną w programie nauczania dla poszczególnych seminariów.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Prowadzący zajęcia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może sprawdzić poziom wiedzy studentów na podstawie pisemnego lub ustnego testu. Studenci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lastRenderedPageBreak/>
        <w:t>są zobowiązani do aktywnego uczestnictwa w seminariach i udziału w dyskusji w podgrupach - w przeciwnym razie mogą zostać wykluczeni z określonych seminariów.</w:t>
      </w:r>
    </w:p>
    <w:p w14:paraId="1A9DD6A4" w14:textId="77777777" w:rsidR="00E91FB5" w:rsidRDefault="00000000" w:rsidP="00610A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Zaliczenie - obecność na wszystkich seminariach; seminaria odbywają się metodą prezentacji przypadków, a następnie dyskusji i planowania postępowania diagnostyczno – terapeutycznego.</w:t>
      </w:r>
    </w:p>
    <w:p w14:paraId="34401E75" w14:textId="31978549" w:rsidR="00E91FB5" w:rsidRDefault="00000000" w:rsidP="00610A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Oceny końcowa z seminarium odbywa się na podstawie  aktywności studenta na zajęciach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 xml:space="preserve"> oraz wyników pisemnego lub ustnego testu w czasie zajęć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.</w:t>
      </w:r>
    </w:p>
    <w:p w14:paraId="1ADD2FEB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System ocen:</w:t>
      </w:r>
    </w:p>
    <w:p w14:paraId="328413CD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Bardzo dobry - (5,0)</w:t>
      </w:r>
    </w:p>
    <w:p w14:paraId="0FF8799D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Ponad dobry - (4,5)</w:t>
      </w:r>
    </w:p>
    <w:p w14:paraId="4A5E4337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Dobry - (4,0)</w:t>
      </w:r>
    </w:p>
    <w:p w14:paraId="1D458440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Dość dobry - (3,5)</w:t>
      </w:r>
    </w:p>
    <w:p w14:paraId="0EEF5AFA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Dostateczny - (3,0)</w:t>
      </w:r>
    </w:p>
    <w:p w14:paraId="0F81E67D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Niedostateczny - (2,0)</w:t>
      </w:r>
    </w:p>
    <w:p w14:paraId="05740FB2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 </w:t>
      </w: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5. Zaliczenie semestralne</w:t>
      </w:r>
    </w:p>
    <w:p w14:paraId="508AE1AD" w14:textId="77777777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W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arunkiem przystąpienia do zaliczenia semestralnego  jest obecność i zaliczenie ćwiczeń oraz seminariów (j.w.) i obecność na wykładach. </w:t>
      </w:r>
    </w:p>
    <w:p w14:paraId="7B0084A8" w14:textId="77777777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Wiedza potrzebna do zaliczenia końcowego stanowi materiał realizowany w trakcie wykładów, ćwiczeń i seminariów. </w:t>
      </w:r>
    </w:p>
    <w:p w14:paraId="5DEE26ED" w14:textId="272F683D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Student ma prawo do podejścia do jednego zaliczenia pisemnego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. W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razie otrzymania oceny niedostatecznej, drugi termin jest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równie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 xml:space="preserve">ż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pisemny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– 3 pytania, co najmniej na 2 student musi udzielić zadowalającej odpowiedzi. </w:t>
      </w:r>
    </w:p>
    <w:p w14:paraId="145842B8" w14:textId="77777777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 przypadku nie uzyskania zaliczenia semestralnego; w razie zaliczenia wykładów, seminariów i ćwiczeń w następnym roku ponowne zaliczenie pisemne/ustne. </w:t>
      </w:r>
    </w:p>
    <w:p w14:paraId="1904408C" w14:textId="77777777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Zaliczenie składa się z pisemnego testu jednokrotnego wyboru (30 pytań)- zaliczenie realizowane jest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w formie stacjonarnej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. Aby uzyskać zaliczenie, student musi uzyskać minimum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>6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0% punktów (jeden punkt za dobrą odpowiedź) z testu pisemnego.</w:t>
      </w:r>
    </w:p>
    <w:p w14:paraId="532CFB12" w14:textId="77777777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Osoba odpowiedzialną za przeprowadzenie testu jest dr n. med. Małgorzata Stompór.</w:t>
      </w:r>
    </w:p>
    <w:p w14:paraId="7FA8D4ED" w14:textId="77777777" w:rsidR="00E91FB5" w:rsidRDefault="00000000" w:rsidP="00610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System ocen:</w:t>
      </w:r>
    </w:p>
    <w:p w14:paraId="0AFD7DD0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– Bardzo dobry - (5,0)</w:t>
      </w:r>
    </w:p>
    <w:p w14:paraId="39D055D3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Ponad dobry - (4,5)</w:t>
      </w:r>
    </w:p>
    <w:p w14:paraId="08796183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Dobry - (4,0)</w:t>
      </w:r>
    </w:p>
    <w:p w14:paraId="339E9A9C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Dość dobry - (3,5)</w:t>
      </w:r>
    </w:p>
    <w:p w14:paraId="669E191A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Dostateczny - (3,0)</w:t>
      </w:r>
    </w:p>
    <w:p w14:paraId="5A35F0C1" w14:textId="77777777" w:rsidR="00E91FB5" w:rsidRDefault="00000000" w:rsidP="00610A3E">
      <w:pPr>
        <w:spacing w:after="0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- Niezadowalający - (2,0)</w:t>
      </w:r>
    </w:p>
    <w:p w14:paraId="6262150C" w14:textId="3DFF277C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8. Student ma prawo zapoznać się z oceną swojego zaliczenia po wystawieniu ocen po uzgodnieniu telefonicznym lub mailowym z dr n. med. Małgorzata Stompór (tel. 604534491 lub email: </w:t>
      </w:r>
      <w:hyperlink r:id="rId7" w:history="1">
        <w:r>
          <w:rPr>
            <w:rStyle w:val="Hipercze"/>
            <w:rFonts w:ascii="Tahoma" w:eastAsia="Times New Roman" w:hAnsi="Tahoma" w:cs="Tahoma"/>
            <w:color w:val="4E5664"/>
            <w:kern w:val="0"/>
            <w:sz w:val="21"/>
            <w:szCs w:val="21"/>
            <w:lang w:eastAsia="pl-PL"/>
            <w14:ligatures w14:val="none"/>
          </w:rPr>
          <w:t>malgorzata.stompor@uwm.edu.pl</w:t>
        </w:r>
      </w:hyperlink>
      <w:r>
        <w:rPr>
          <w:rFonts w:ascii="Tahoma" w:eastAsia="Times New Roman" w:hAnsi="Tahoma" w:cs="Tahoma"/>
          <w:color w:val="4E5664"/>
          <w:kern w:val="0"/>
          <w:sz w:val="21"/>
          <w:szCs w:val="21"/>
          <w:lang w:val="en-US" w:eastAsia="pl-PL"/>
          <w14:ligatures w14:val="none"/>
        </w:rPr>
        <w:t xml:space="preserve"> lub  mstompor@tlen.pl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)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.</w:t>
      </w:r>
    </w:p>
    <w:p w14:paraId="67CE4DA4" w14:textId="009A84FD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9. Konsultacje merytoryczne i odrabianie nieobecności odbywają się po zakończonych w danym dniu seminariach i/lub zajęciach praktycznych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.</w:t>
      </w:r>
    </w:p>
    <w:p w14:paraId="70857613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6. Akademicka praworządność i uczciwość:</w:t>
      </w:r>
    </w:p>
    <w:p w14:paraId="4B0FAD83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Określenie zasad akademickiej praworządności i uczciwości oraz zasad postępowania w sytuacji gdy dojdzie do ich naruszenia </w:t>
      </w:r>
      <w:r>
        <w:rPr>
          <w:rFonts w:ascii="Tahoma" w:eastAsia="Times New Roman" w:hAnsi="Tahoma" w:cs="Tahoma"/>
          <w:i/>
          <w:iCs/>
          <w:color w:val="4E5664"/>
          <w:kern w:val="0"/>
          <w:sz w:val="21"/>
          <w:szCs w:val="21"/>
          <w:lang w:eastAsia="pl-PL"/>
          <w14:ligatures w14:val="none"/>
        </w:rPr>
        <w:t>(np. oszukiwanie, ściąganie na kolokwiach, przekazywanie informacji itp.).</w:t>
      </w:r>
    </w:p>
    <w:p w14:paraId="3380691C" w14:textId="77777777" w:rsidR="00E91FB5" w:rsidRDefault="00000000" w:rsidP="00610A3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lastRenderedPageBreak/>
        <w:t>Jakakolwiek forma ściągania podczas egzaminów końcowych jest surowo zabroniona, zostanie odnotowana w aktach ucznia i będzie skutkować dyskwalifikacją z kursu.</w:t>
      </w:r>
    </w:p>
    <w:p w14:paraId="604D2DF0" w14:textId="6B6835D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7. Kwestie nieuregulowane w przedstawionym regulaminie zajęć z przedmiotu Geriatria 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w Katedrze Medycyny Rodzinnej i Chorób Zakaźnych  pozostają w gestii Kierownika Katedry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dr hab. n. med. Jerz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ego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 xml:space="preserve"> Romaszko</w:t>
      </w:r>
      <w:r w:rsidR="00610A3E"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, prof. UWM</w:t>
      </w: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.</w:t>
      </w:r>
    </w:p>
    <w:p w14:paraId="0BE83711" w14:textId="77777777" w:rsidR="00E91FB5" w:rsidRDefault="00000000" w:rsidP="00610A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color w:val="4E5664"/>
          <w:kern w:val="0"/>
          <w:sz w:val="21"/>
          <w:szCs w:val="21"/>
          <w:lang w:eastAsia="pl-PL"/>
          <w14:ligatures w14:val="none"/>
        </w:rPr>
        <w:t>8. Regulamin zajęć jest zgodny z Regulaminem Studiów UWM oraz procedurami obowiązującymi na Wydziale Lekarskim.</w:t>
      </w:r>
    </w:p>
    <w:p w14:paraId="669549B6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 </w:t>
      </w:r>
    </w:p>
    <w:p w14:paraId="0839B059" w14:textId="77777777" w:rsidR="00E91FB5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 </w:t>
      </w:r>
    </w:p>
    <w:p w14:paraId="282F0905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Koordynator przedmiotu</w:t>
      </w:r>
    </w:p>
    <w:p w14:paraId="2F79D19F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dr n. med. Małgorzata Stompór</w:t>
      </w:r>
    </w:p>
    <w:p w14:paraId="6F6B7B34" w14:textId="77777777" w:rsidR="00E91FB5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</w:pPr>
      <w:r>
        <w:rPr>
          <w:rFonts w:ascii="Tahoma" w:eastAsia="Times New Roman" w:hAnsi="Tahoma" w:cs="Tahoma"/>
          <w:color w:val="4E5664"/>
          <w:kern w:val="0"/>
          <w:sz w:val="21"/>
          <w:szCs w:val="21"/>
          <w:lang w:eastAsia="pl-PL"/>
          <w14:ligatures w14:val="none"/>
        </w:rPr>
        <w:t>geriatra, specjalista chorób wewnętrznych</w:t>
      </w:r>
    </w:p>
    <w:sectPr w:rsidR="00E9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628E" w14:textId="77777777" w:rsidR="00212EDE" w:rsidRDefault="00212EDE">
      <w:pPr>
        <w:spacing w:line="240" w:lineRule="auto"/>
      </w:pPr>
      <w:r>
        <w:separator/>
      </w:r>
    </w:p>
  </w:endnote>
  <w:endnote w:type="continuationSeparator" w:id="0">
    <w:p w14:paraId="29EC5994" w14:textId="77777777" w:rsidR="00212EDE" w:rsidRDefault="0021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FD79E" w14:textId="77777777" w:rsidR="00212EDE" w:rsidRDefault="00212EDE">
      <w:pPr>
        <w:spacing w:after="0"/>
      </w:pPr>
      <w:r>
        <w:separator/>
      </w:r>
    </w:p>
  </w:footnote>
  <w:footnote w:type="continuationSeparator" w:id="0">
    <w:p w14:paraId="74B041CE" w14:textId="77777777" w:rsidR="00212EDE" w:rsidRDefault="00212E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1C7"/>
    <w:multiLevelType w:val="multilevel"/>
    <w:tmpl w:val="05F001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5834A94"/>
    <w:multiLevelType w:val="multilevel"/>
    <w:tmpl w:val="25834A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2D819E1"/>
    <w:multiLevelType w:val="multilevel"/>
    <w:tmpl w:val="42D819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3CE0668"/>
    <w:multiLevelType w:val="multilevel"/>
    <w:tmpl w:val="43CE06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56F04E4"/>
    <w:multiLevelType w:val="multilevel"/>
    <w:tmpl w:val="456F04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AAF27B0"/>
    <w:multiLevelType w:val="multilevel"/>
    <w:tmpl w:val="5AAF27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1300030"/>
    <w:multiLevelType w:val="multilevel"/>
    <w:tmpl w:val="713000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C120380"/>
    <w:multiLevelType w:val="multilevel"/>
    <w:tmpl w:val="7C1203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8116708">
    <w:abstractNumId w:val="1"/>
  </w:num>
  <w:num w:numId="2" w16cid:durableId="340861291">
    <w:abstractNumId w:val="6"/>
  </w:num>
  <w:num w:numId="3" w16cid:durableId="61292914">
    <w:abstractNumId w:val="3"/>
  </w:num>
  <w:num w:numId="4" w16cid:durableId="1522552128">
    <w:abstractNumId w:val="7"/>
  </w:num>
  <w:num w:numId="5" w16cid:durableId="1746338076">
    <w:abstractNumId w:val="4"/>
  </w:num>
  <w:num w:numId="6" w16cid:durableId="2043241945">
    <w:abstractNumId w:val="2"/>
  </w:num>
  <w:num w:numId="7" w16cid:durableId="1449861678">
    <w:abstractNumId w:val="5"/>
  </w:num>
  <w:num w:numId="8" w16cid:durableId="126827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7A"/>
    <w:rsid w:val="000965A1"/>
    <w:rsid w:val="00212EDE"/>
    <w:rsid w:val="002E0447"/>
    <w:rsid w:val="003633C0"/>
    <w:rsid w:val="005D6651"/>
    <w:rsid w:val="00610A3E"/>
    <w:rsid w:val="00651240"/>
    <w:rsid w:val="006D027A"/>
    <w:rsid w:val="007F0233"/>
    <w:rsid w:val="008560C2"/>
    <w:rsid w:val="00866850"/>
    <w:rsid w:val="008D5A69"/>
    <w:rsid w:val="009474ED"/>
    <w:rsid w:val="0098373D"/>
    <w:rsid w:val="00BB5947"/>
    <w:rsid w:val="00C766CE"/>
    <w:rsid w:val="00DF3376"/>
    <w:rsid w:val="00E91FB5"/>
    <w:rsid w:val="7D5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EE39"/>
  <w15:docId w15:val="{0FAADDEE-554D-4C97-9CB0-2EA0E7DE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stompor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Makowska</dc:creator>
  <cp:lastModifiedBy>Agnieszka Makowska</cp:lastModifiedBy>
  <cp:revision>12</cp:revision>
  <dcterms:created xsi:type="dcterms:W3CDTF">2023-07-25T11:10:00Z</dcterms:created>
  <dcterms:modified xsi:type="dcterms:W3CDTF">2024-07-17T10:42:00Z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76017957E2E944F5AF1649EEEC954963</vt:lpwstr>
  </property>
</Properties>
</file>