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5319" w14:textId="77777777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Cs/>
          <w:color w:val="000000" w:themeColor="text1"/>
          <w:sz w:val="24"/>
          <w:szCs w:val="24"/>
        </w:rPr>
        <w:t>Uniwersytet Warmińsko-Mazurski w Olsztynie</w:t>
      </w:r>
    </w:p>
    <w:p w14:paraId="73FBC9BC" w14:textId="77777777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Collegium </w:t>
      </w:r>
      <w:proofErr w:type="spellStart"/>
      <w:r w:rsidRPr="00631E9F">
        <w:rPr>
          <w:rFonts w:ascii="Times New Roman" w:hAnsi="Times New Roman"/>
          <w:bCs/>
          <w:color w:val="000000" w:themeColor="text1"/>
          <w:sz w:val="24"/>
          <w:szCs w:val="24"/>
        </w:rPr>
        <w:t>Medicum</w:t>
      </w:r>
      <w:proofErr w:type="spellEnd"/>
    </w:p>
    <w:p w14:paraId="1D772178" w14:textId="77777777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Cs/>
          <w:color w:val="000000" w:themeColor="text1"/>
          <w:sz w:val="24"/>
          <w:szCs w:val="24"/>
        </w:rPr>
        <w:t>Wydział Lekarski</w:t>
      </w:r>
    </w:p>
    <w:p w14:paraId="7E4BA8EB" w14:textId="77777777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9C45A5" w14:textId="73735C2E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REGULAMIN ZAJĘĆ Z FARMAKOLOGII I TOKSYKOLOGII </w:t>
      </w:r>
      <w:r w:rsidR="0003184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>/3</w:t>
      </w:r>
      <w:r w:rsidR="00BA4E65" w:rsidRPr="00631E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128919A" w14:textId="77777777" w:rsidR="001220EC" w:rsidRPr="00631E9F" w:rsidRDefault="001220EC" w:rsidP="001220E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dla studentów Kierunku Lekarskiego Wydziału Lekarskiego Collegium </w:t>
      </w:r>
      <w:proofErr w:type="spellStart"/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>Medicum</w:t>
      </w:r>
      <w:proofErr w:type="spellEnd"/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Uniwersytetu Warmińsko-Mazurskiego w Olsztynie</w:t>
      </w:r>
    </w:p>
    <w:p w14:paraId="0C667F70" w14:textId="77777777" w:rsidR="001220EC" w:rsidRPr="00631E9F" w:rsidRDefault="001220EC" w:rsidP="001220E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33B1E5" w14:textId="77777777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>Informacje ogólne</w:t>
      </w:r>
    </w:p>
    <w:p w14:paraId="013C8B1B" w14:textId="77777777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Zajęcia realizowane są przez Katedrę Farmakologii i Toksykologii Wydziału Lekarskiego Collegium </w:t>
      </w:r>
      <w:proofErr w:type="spellStart"/>
      <w:r w:rsidRPr="00631E9F">
        <w:rPr>
          <w:rFonts w:ascii="Times New Roman" w:hAnsi="Times New Roman"/>
          <w:color w:val="000000" w:themeColor="text1"/>
          <w:sz w:val="24"/>
          <w:szCs w:val="24"/>
        </w:rPr>
        <w:t>Medicum</w:t>
      </w:r>
      <w:proofErr w:type="spellEnd"/>
      <w:r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Uniwersytetu Warmińsko-Mazurskiego w Olsztynie.</w:t>
      </w:r>
    </w:p>
    <w:p w14:paraId="0AB12BA1" w14:textId="77777777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b/>
          <w:color w:val="000000" w:themeColor="text1"/>
          <w:sz w:val="24"/>
          <w:szCs w:val="24"/>
        </w:rPr>
        <w:t>Pracownicy odpowiedzialni za realizację przedmiotu:</w:t>
      </w:r>
    </w:p>
    <w:p w14:paraId="49E38865" w14:textId="3453489D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Kierownik katedry dr hab. n.med. Michał S. Majewski</w:t>
      </w:r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>, prof. UWM</w:t>
      </w:r>
    </w:p>
    <w:p w14:paraId="38F465EB" w14:textId="00117095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Koordynator przedmiotu: </w:t>
      </w:r>
      <w:r w:rsidR="006D5DD0" w:rsidRPr="00631E9F">
        <w:rPr>
          <w:rFonts w:ascii="Times New Roman" w:hAnsi="Times New Roman"/>
          <w:color w:val="000000" w:themeColor="text1"/>
          <w:sz w:val="24"/>
          <w:szCs w:val="24"/>
        </w:rPr>
        <w:t>lek.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DD0" w:rsidRPr="00631E9F">
        <w:rPr>
          <w:rFonts w:ascii="Times New Roman" w:hAnsi="Times New Roman"/>
          <w:color w:val="000000" w:themeColor="text1"/>
          <w:sz w:val="24"/>
          <w:szCs w:val="24"/>
        </w:rPr>
        <w:t>wet. Aleksandra Witkowska</w:t>
      </w:r>
    </w:p>
    <w:p w14:paraId="1D7D1AB3" w14:textId="646AC6B3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Osoby odpowiedzialne za realizację poszczególnych rodzajów zajęć: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dr hab. Michał Majewski prof. UWM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lek.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>wet. Aleksandra Witkowska</w:t>
      </w:r>
      <w:r w:rsidR="006D5DD0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dr n. med. Krzysztof Nosek</w:t>
      </w:r>
      <w:r w:rsidRPr="00631E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lek. Klaudia </w:t>
      </w:r>
      <w:proofErr w:type="spellStart"/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>Kitala</w:t>
      </w:r>
      <w:proofErr w:type="spellEnd"/>
      <w:r w:rsidR="00631E9F" w:rsidRPr="00631E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DD0" w:rsidRPr="00631E9F">
        <w:rPr>
          <w:rFonts w:ascii="Times New Roman" w:hAnsi="Times New Roman"/>
          <w:color w:val="000000" w:themeColor="text1"/>
          <w:sz w:val="24"/>
          <w:szCs w:val="24"/>
        </w:rPr>
        <w:t>lek. Piotr Kozera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lek. Jakub Szczepaniak-</w:t>
      </w:r>
      <w:proofErr w:type="spellStart"/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Domurad</w:t>
      </w:r>
      <w:proofErr w:type="spellEnd"/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lek. Kacper Klonowski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 xml:space="preserve">dr n. farm. Anna </w:t>
      </w:r>
      <w:proofErr w:type="spellStart"/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Gryn</w:t>
      </w:r>
      <w:proofErr w:type="spellEnd"/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-Rynko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1843" w:rsidRPr="00031843">
        <w:rPr>
          <w:rFonts w:ascii="Times New Roman" w:hAnsi="Times New Roman"/>
          <w:color w:val="000000" w:themeColor="text1"/>
          <w:sz w:val="24"/>
          <w:szCs w:val="24"/>
        </w:rPr>
        <w:t>mgr farm. Wojciech Kask</w:t>
      </w:r>
      <w:r w:rsidR="000318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376090F" w14:textId="77777777" w:rsidR="001220EC" w:rsidRPr="00631E9F" w:rsidRDefault="001220EC" w:rsidP="001220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4681F4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Ćwiczenia, seminaria i wykłady odbywają się zgodnie z harmonogramem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godzinach przewidzianych w planie zajęć. Student zobowiązany jest do uczestniczenia w zajęciach z grupą studencką do której został przypisany na początku roku akademickiego.</w:t>
      </w:r>
    </w:p>
    <w:p w14:paraId="25F450FF" w14:textId="5B1D6298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Zajęcia dydaktyczne seminaria i ćwiczenia będą realizowane w trybie stacjonarnym, a w przypadku innej sytuacji epidemiologicznej w trybie zdalnym lub mieszanym. </w:t>
      </w:r>
    </w:p>
    <w:p w14:paraId="28D41AEF" w14:textId="3BC03E57" w:rsidR="001220EC" w:rsidRPr="00631E9F" w:rsidRDefault="00706F43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="001220EC"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tudenci zobowiązani są do przychodzenia 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</w:t>
      </w:r>
      <w:r w:rsidR="001220EC"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punktualnie.</w:t>
      </w:r>
    </w:p>
    <w:p w14:paraId="6C1A038F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zajęć zdalnych studenci zobowiązani są do rejestracji na platformie co najmniej 10 min przed ich rozpoczęciem. </w:t>
      </w:r>
    </w:p>
    <w:p w14:paraId="3D0782C1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Obecność na ćwiczeniach i seminariach jest obowiązkowa.</w:t>
      </w:r>
    </w:p>
    <w:p w14:paraId="642FFF0D" w14:textId="62C6EBE0" w:rsidR="001220EC" w:rsidRPr="00631E9F" w:rsidRDefault="00631E9F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Dopuszcza się nieobecność na 1 wykładzie</w:t>
      </w:r>
      <w:r w:rsidR="001220EC"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natomiast stwierdzona wyższa nieobecność kwalifikuje studenta do zaliczenia całości materiałów przedstawionych przez prowadzących wykłady.</w:t>
      </w:r>
    </w:p>
    <w:p w14:paraId="205886DE" w14:textId="4876BE6A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Ćwiczenia i seminaria zaliczane będą na podstawie aktywności i odpowiedzi pisemnej - w czasie  ćwiczeń i seminariów będzie przeprowadzony krótki sprawdzian cząstkowy dotyczący  zagadnień związanych z tematem zajęć. </w:t>
      </w:r>
    </w:p>
    <w:p w14:paraId="7F3AB0C3" w14:textId="77777777" w:rsidR="001220EC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każdym ćwiczeniu oraz seminarium obowiązuje znajomość materiału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ćwiczenia/seminarium bieżącego oraz z poprzednio odbytych ćwiczeń/seminariów.</w:t>
      </w:r>
    </w:p>
    <w:p w14:paraId="6563E6C8" w14:textId="257038D6" w:rsidR="00706F43" w:rsidRPr="00631E9F" w:rsidRDefault="00706F43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seminariach studenci omawiają wyznaczony przez prowadzącego temat. Obowiązuje ich dokładna znajomość przedstawianego zagadnienia. Prowadzący wystawia ocenę na podstawie prezentacji oraz wiedzy studentów. </w:t>
      </w:r>
    </w:p>
    <w:p w14:paraId="44755879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Ewentualna poprawa niezaliczonego ćwiczenia/seminarium powinna odbyć się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terminie do 7 dni od daty przeprowadzonych zajęć (w terminie ustalonym przez prowadzącego).</w:t>
      </w:r>
    </w:p>
    <w:p w14:paraId="64CFF704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Niezaliczone ćwiczenie/seminarium poprawić można tylko jeden raz.</w:t>
      </w:r>
    </w:p>
    <w:p w14:paraId="19444539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Student zostaje dopuszczony do kolokwium na podstawie pozytywnych ocen uzyskanych w danym cyklu tematycznym. </w:t>
      </w:r>
    </w:p>
    <w:p w14:paraId="6B205D58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Dopuszczalne jest niezaliczenie jednego ćwiczenia w semestrze, przy dwóch niezaliczonych ćwiczeniach, student pisze kolokwium w 2 terminie, przy trzech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większej ilości niezaliczonych ćwiczeń, student na zakończenie semestru pisze kolokwium poprawkowe z całości materiału obowiązującego w danym semestrze.</w:t>
      </w:r>
    </w:p>
    <w:p w14:paraId="53A9D74D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Nieobecności usprawiedliwiane będą na podstawie zwolnienia lekarskiego wydanego przez lekarza lub inne instytucje (np. sądy, prokuraturę, urzędy państwowe).</w:t>
      </w:r>
    </w:p>
    <w:p w14:paraId="35B59930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Opuszczone zajęcia należy zaliczyć w terminie 7 dni od zakończenia okresu zwolnienia.</w:t>
      </w:r>
    </w:p>
    <w:p w14:paraId="12C295B7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Nieusprawiedliwiona nieobecność na zajęciach potraktowana będzie jako ćwiczenia niezaliczone. </w:t>
      </w:r>
    </w:p>
    <w:p w14:paraId="4DF647B3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Dopuszczalna jest tylko 1 nieusprawiedliwiona nieobecność na ćwiczeniach w trakcie trwania roku akademickiego. Każda kolejna nieobecność nieusprawiedliwiona powoduje niezaliczenie przedmiotu.</w:t>
      </w:r>
    </w:p>
    <w:p w14:paraId="7C297D08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Warunkiem dopuszczenia studenta do egzaminu z zakresu farmakologii jest zaliczenie wszystkich ćwiczeń, seminariów (wyjątek p.11) oraz kolokwiów.</w:t>
      </w:r>
    </w:p>
    <w:p w14:paraId="5EAEA865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zakończeniu określonej partii materiału zostanie przeprowadzone kolokwium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formie pisemnej, które student zobowiązany jest zaliczyć.</w:t>
      </w:r>
    </w:p>
    <w:p w14:paraId="6D7F1AB5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semestrze przewiduje się przeprowadzenie minimum 2 kolokwiów.</w:t>
      </w:r>
    </w:p>
    <w:p w14:paraId="403080CC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Poprawa niezaliczonego kolokwium odbywać się będzie w terminie do 10 dni od pierwszego terminu sprawdzianu. </w:t>
      </w:r>
    </w:p>
    <w:p w14:paraId="1FC9F372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 wszystkich kolokwiów w ustalonych terminach:</w:t>
      </w:r>
    </w:p>
    <w:p w14:paraId="218D0E05" w14:textId="77777777" w:rsidR="001220EC" w:rsidRPr="00631E9F" w:rsidRDefault="001220EC" w:rsidP="001220EC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obejmuje znajomość materiału podręcznikowego, seminaryjnego, ćwiczeniowego oraz wykładów</w:t>
      </w:r>
    </w:p>
    <w:p w14:paraId="3B5F92BC" w14:textId="0E73B610" w:rsidR="001220EC" w:rsidRPr="00631E9F" w:rsidRDefault="001220EC" w:rsidP="001220EC">
      <w:pPr>
        <w:pStyle w:val="HTML-wstpniesformatowany"/>
        <w:numPr>
          <w:ilvl w:val="1"/>
          <w:numId w:val="1"/>
        </w:numPr>
        <w:tabs>
          <w:tab w:val="left" w:pos="284"/>
        </w:tabs>
        <w:spacing w:after="160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kolokwium składa się z części teoretycznej oraz w przypadku możliwości technicznych także z części recepturowej. </w:t>
      </w:r>
    </w:p>
    <w:p w14:paraId="5C8D039F" w14:textId="77777777" w:rsidR="001220EC" w:rsidRPr="00631E9F" w:rsidRDefault="001220EC" w:rsidP="001220EC">
      <w:pPr>
        <w:pStyle w:val="HTML-wstpniesformatowany"/>
        <w:numPr>
          <w:ilvl w:val="1"/>
          <w:numId w:val="1"/>
        </w:numPr>
        <w:tabs>
          <w:tab w:val="left" w:pos="284"/>
        </w:tabs>
        <w:spacing w:after="160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Kolokwium może odbywać się w sposób zdalny (na platformach udostępnionych przez uniwersytet lub wskazanych przez Kierownika Katedry) lub w przypadku stabilnej sytuacji epidemiologicznej także w sposób standardowy. </w:t>
      </w:r>
    </w:p>
    <w:p w14:paraId="28D0D5FC" w14:textId="77777777" w:rsidR="001220EC" w:rsidRPr="00631E9F" w:rsidRDefault="001220EC" w:rsidP="001220EC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ma prawo do dwukrotnego zaliczania kolokwium.</w:t>
      </w:r>
    </w:p>
    <w:p w14:paraId="6EADFB9C" w14:textId="77777777" w:rsidR="001220EC" w:rsidRPr="00631E9F" w:rsidRDefault="001220EC" w:rsidP="001220EC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nieobecność nieusprawiedliwiona na kolokwium jest równoznaczna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otrzymaniem oceny niedostatecznej. W przypadku nieobecności usprawiedliwionej (zwolnienie lekarskie) należy przedłożyć zwolnienie osobie prowadzącej ćwiczenia w ciągu trzech dni roboczych od daty zakończenia zwolnienia</w:t>
      </w:r>
    </w:p>
    <w:p w14:paraId="239A926C" w14:textId="77777777" w:rsidR="001220EC" w:rsidRPr="00631E9F" w:rsidRDefault="001220EC" w:rsidP="001220EC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wyjątkowych przypadkach losowych (np. dłuższy pobyt w szpitalu) terminy zaliczania kolokwiów mogą być indywidualnie ustalane z osobą prowadzącą dane kolokwium tematyczne</w:t>
      </w:r>
    </w:p>
    <w:p w14:paraId="7BF011B9" w14:textId="77777777" w:rsidR="001220EC" w:rsidRPr="00631E9F" w:rsidRDefault="001220EC" w:rsidP="001220EC">
      <w:pPr>
        <w:pStyle w:val="HTML-wstpniesformatowany"/>
        <w:numPr>
          <w:ilvl w:val="1"/>
          <w:numId w:val="1"/>
        </w:numPr>
        <w:tabs>
          <w:tab w:val="left" w:pos="284"/>
        </w:tabs>
        <w:spacing w:after="160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Studenci, którzy dwukrotne nie zaliczyli kolokwium będą mogli przystąpić do kolokwium poprawkowego (wewnętrznego, przeprowadzonego w Katedrze egzaminu komisyjnego. Skład Komisji wyznacza Kierownik Katedry) </w:t>
      </w: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materiału niezaliczonego, które odbędzie się po zakończeniu zajęć w danym semestrze.</w:t>
      </w:r>
    </w:p>
    <w:p w14:paraId="43E4D3E7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1BC3" w14:textId="77777777" w:rsidR="001220EC" w:rsidRPr="00631E9F" w:rsidRDefault="001220EC" w:rsidP="001220EC">
      <w:pPr>
        <w:pStyle w:val="HTML-wstpniesformatowany"/>
        <w:numPr>
          <w:ilvl w:val="1"/>
          <w:numId w:val="1"/>
        </w:numPr>
        <w:tabs>
          <w:tab w:val="left" w:pos="284"/>
        </w:tabs>
        <w:spacing w:after="160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zaliczenia kolokwium i egzaminu wymagane jest uzyskanie minimum </w:t>
      </w: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60% punktów z części teoretycznej oraz z części teoretycznej i recepturowej            (w przypadku kolokwium lub egzaminu składającego się z obu części)</w:t>
      </w:r>
    </w:p>
    <w:p w14:paraId="320FCF53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Ocena ostateczna z kolokwiów będzie ustalana na podstawie poniższego schematu ilości procentowej uzyskanych punktów</w:t>
      </w:r>
    </w:p>
    <w:p w14:paraId="23916192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=&lt;59% - 2</w:t>
      </w:r>
    </w:p>
    <w:p w14:paraId="1B58DD48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60%-69% - 3</w:t>
      </w:r>
    </w:p>
    <w:p w14:paraId="3B2DD252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70%-79% - 3+</w:t>
      </w:r>
    </w:p>
    <w:p w14:paraId="67EA7259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80%-89% - 4</w:t>
      </w:r>
    </w:p>
    <w:p w14:paraId="2831A304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90%-95% - 4+</w:t>
      </w:r>
    </w:p>
    <w:p w14:paraId="13478C66" w14:textId="77777777" w:rsidR="001220EC" w:rsidRPr="00631E9F" w:rsidRDefault="001220EC" w:rsidP="001220EC">
      <w:pPr>
        <w:pStyle w:val="HTML-wstpniesformatowany"/>
        <w:tabs>
          <w:tab w:val="left" w:pos="284"/>
        </w:tabs>
        <w:spacing w:after="16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96%-100% - 5</w:t>
      </w:r>
    </w:p>
    <w:p w14:paraId="3AE1E485" w14:textId="77777777" w:rsidR="001220EC" w:rsidRPr="00631E9F" w:rsidRDefault="001220EC" w:rsidP="001220EC">
      <w:pPr>
        <w:pStyle w:val="HTML-wstpniesformatowany"/>
        <w:numPr>
          <w:ilvl w:val="1"/>
          <w:numId w:val="1"/>
        </w:numPr>
        <w:tabs>
          <w:tab w:val="left" w:pos="284"/>
        </w:tabs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 w:cs="Times New Roman"/>
          <w:color w:val="000000" w:themeColor="text1"/>
          <w:sz w:val="24"/>
          <w:szCs w:val="24"/>
        </w:rPr>
        <w:t>ściąganie w każdej formie podczas sprawdzianów i kolokwiów skutkuje wyrzuceniem studenta ze sprawdzianu i oceną niedostateczną łącznie z poinformowaniem o takiej sytuacji Dziekana ds. studenckich.</w:t>
      </w:r>
    </w:p>
    <w:p w14:paraId="07089664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Niezaliczenie któregokolwiek z kolokwiów we wszystkich wyznaczonych terminach, oznacza niezaliczenie określonego działu materiału oraz ćwiczeń z nim związanych,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 co za tym idzie niezaliczeniem semestru i w konsekwencji niedopuszczeniem do egzaminu z farmakologii.</w:t>
      </w:r>
    </w:p>
    <w:p w14:paraId="6F7E2629" w14:textId="77777777" w:rsidR="001220EC" w:rsidRPr="00631E9F" w:rsidRDefault="001220EC" w:rsidP="001220EC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zakończenie semestru przewiduje się test zaliczeniowy z wiadomości przedstawionych na wykładach. </w:t>
      </w:r>
    </w:p>
    <w:p w14:paraId="4577D550" w14:textId="77777777" w:rsidR="00F94D01" w:rsidRPr="00631E9F" w:rsidRDefault="001220EC" w:rsidP="00F94D01">
      <w:pPr>
        <w:pStyle w:val="Akapitzlist"/>
        <w:numPr>
          <w:ilvl w:val="0"/>
          <w:numId w:val="1"/>
        </w:numPr>
        <w:tabs>
          <w:tab w:val="left" w:pos="284"/>
        </w:tabs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 końcowy z farmakologii </w:t>
      </w:r>
      <w:r w:rsidR="00F94D01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odbywa się w postaci zaliczenia teoretycznego. </w:t>
      </w:r>
    </w:p>
    <w:p w14:paraId="192F4B57" w14:textId="77777777" w:rsidR="00BA4E65" w:rsidRPr="00631E9F" w:rsidRDefault="00F94D01" w:rsidP="00BA4E65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Część teoretyczna składa się z części testowej - 100 pytań testowych jednokrotnego wyboru ocenianych w skali 1pkt. - odpowiedź prawidłowa; 0pkt. – odpowiedź nieprawidłowa (czas trwania egzaminu 1h 45 minut) oraz z części ustnej – 3 pytania otwarte.</w:t>
      </w:r>
    </w:p>
    <w:p w14:paraId="04A31A3C" w14:textId="77777777" w:rsidR="00BA4E65" w:rsidRPr="00631E9F" w:rsidRDefault="00F94D01" w:rsidP="00EA4DC2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Każda część egzaminu odbywa się w innym dniu (część teoretyczna – dzień pierwszy, część ustna – dzień drugi).</w:t>
      </w:r>
    </w:p>
    <w:p w14:paraId="658D7F88" w14:textId="77777777" w:rsidR="00BA4E65" w:rsidRPr="00631E9F" w:rsidRDefault="00F94D01" w:rsidP="00ED638B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Student musi zdać obie formy egzaminu, aby zaliczyć przedmiot.</w:t>
      </w:r>
    </w:p>
    <w:p w14:paraId="44836D86" w14:textId="77777777" w:rsidR="00BA4E65" w:rsidRPr="00631E9F" w:rsidRDefault="00F94D01" w:rsidP="00FF0FAD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Ocena końcowa z egzaminu jest średnią arytmetyczną oceny uzyskanej z części testowej i części ustnej egzaminu</w:t>
      </w:r>
      <w:r w:rsidR="00BA4E65" w:rsidRPr="00631E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8AD6B3" w14:textId="36BE92BA" w:rsidR="001220EC" w:rsidRPr="00631E9F" w:rsidRDefault="00F94D01" w:rsidP="008639B3">
      <w:pPr>
        <w:pStyle w:val="Akapitzlist"/>
        <w:numPr>
          <w:ilvl w:val="1"/>
          <w:numId w:val="1"/>
        </w:numPr>
        <w:tabs>
          <w:tab w:val="left" w:pos="284"/>
        </w:tabs>
        <w:spacing w:after="16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t>W przypadku niezaliczenia części testowej egzaminu student jest niedopuszczony do zdawania części ustnej.</w:t>
      </w:r>
      <w:r w:rsidR="001220EC"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338AEA7" w14:textId="77777777" w:rsidR="00BA4E65" w:rsidRPr="00631E9F" w:rsidRDefault="001220EC" w:rsidP="00A41C6E">
      <w:pPr>
        <w:pStyle w:val="Akapitzlist"/>
        <w:numPr>
          <w:ilvl w:val="1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ma prawo do dwóch terminów poprawkowych</w:t>
      </w:r>
    </w:p>
    <w:p w14:paraId="7E1E519B" w14:textId="32A9B2AF" w:rsidR="001220EC" w:rsidRPr="00631E9F" w:rsidRDefault="001220EC" w:rsidP="00A41C6E">
      <w:pPr>
        <w:pStyle w:val="Akapitzlist"/>
        <w:numPr>
          <w:ilvl w:val="1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 egzaminu końcowego decyzją Kierownika Katedry mogą zostać zwolnieni studenci, którzy uzyskali ze wszystkich kolokwiów zaliczonych w I terminie średnią ocen  </w:t>
      </w:r>
      <w:r w:rsidRPr="00631E9F">
        <w:rPr>
          <w:rStyle w:val="size"/>
          <w:rFonts w:ascii="Times New Roman" w:hAnsi="Times New Roman"/>
          <w:color w:val="000000" w:themeColor="text1"/>
          <w:sz w:val="24"/>
          <w:szCs w:val="24"/>
        </w:rPr>
        <w:t>≥</w:t>
      </w:r>
      <w:r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4,75 oraz</w:t>
      </w:r>
      <w:r w:rsidR="00F94D01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uczestniczyli na wszystkich wykładach</w:t>
      </w:r>
      <w:r w:rsidR="00BA4E65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F94D01" w:rsidRPr="00631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1E9F">
        <w:rPr>
          <w:rFonts w:ascii="Times New Roman" w:hAnsi="Times New Roman"/>
          <w:color w:val="000000" w:themeColor="text1"/>
          <w:sz w:val="24"/>
          <w:szCs w:val="24"/>
        </w:rPr>
        <w:t>wykazali się zaangażowaniem i aktywnością na zajęciach</w:t>
      </w:r>
    </w:p>
    <w:p w14:paraId="6C2D9B25" w14:textId="77777777" w:rsidR="001220EC" w:rsidRPr="00631E9F" w:rsidRDefault="001220EC" w:rsidP="001220EC">
      <w:pPr>
        <w:pStyle w:val="Akapitzlist"/>
        <w:spacing w:after="160" w:line="240" w:lineRule="auto"/>
        <w:ind w:left="144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A5D3C0" w14:textId="77777777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Niedopuszczalne jest korzystanie z telefonów komórkowych, innych urządzeń elektronicznych oraz Internetu w czasie zajęć.</w:t>
      </w:r>
      <w:r w:rsidRPr="00631E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czasie zajęć telefony powinny być wyłączone.</w:t>
      </w:r>
    </w:p>
    <w:p w14:paraId="70B94995" w14:textId="77777777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Nagrywanie ćwiczeń, seminariów o wykładów, wykonywanie zdjęć prezentacji bez zgody prowadzącego jest niedozwolone. Stwierdzenie takiego faktu będzie skutkowało usunięciem z zajęć i zgłoszeniem na piśmie do Dziekana ds. studenckich.</w:t>
      </w:r>
    </w:p>
    <w:p w14:paraId="0F48DB5C" w14:textId="77777777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Obowiązuje całkowity zakaz podłączania do komputera jakichkolwiek nośników pamięci masowej (płyty CD/DVD,USB) bez wiedzy i zgody prowadzącego zajęcia.</w:t>
      </w:r>
    </w:p>
    <w:p w14:paraId="79140035" w14:textId="4CBD2E16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Konsekwencją postępowania studenta niezgodnie z regulaminem i wytycznymi BHP będzie wykluczenie jego uczestnictwa w ćwiczeniach (nieobecność nieusprawiedliwiona na ćwiczeniach, seminariach, kolokwiach, wykładach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egzaminie).</w:t>
      </w:r>
    </w:p>
    <w:p w14:paraId="109DCFD9" w14:textId="1F240B5E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Oczekujemy od studentów kierunku </w:t>
      </w:r>
      <w:r w:rsidR="00BA4E65"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ekarskiego przestrzegania zasad uczciwości i praworządności. Naruszenie zasady uczciwości, oszukiwanie, ściąganie na kolokwiach będzie zgłaszane do Dziekana ds. studenckich. Zabrania się podczas kolokwium używania telefonów komórkowych, przekazywania informacji </w:t>
      </w:r>
      <w:proofErr w:type="spellStart"/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ect</w:t>
      </w:r>
      <w:proofErr w:type="spellEnd"/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torby, plecaki umieszczone są zawsze poza zasięgiem studenta.</w:t>
      </w:r>
    </w:p>
    <w:p w14:paraId="0F58DC68" w14:textId="77777777" w:rsidR="001220EC" w:rsidRPr="00631E9F" w:rsidRDefault="001220EC" w:rsidP="001220EC">
      <w:pPr>
        <w:pStyle w:val="Akapitzlist"/>
        <w:numPr>
          <w:ilvl w:val="0"/>
          <w:numId w:val="1"/>
        </w:numPr>
        <w:spacing w:after="16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Wątpliwości nasuwające się w toku zajęć rozstrzyga w pierwszej kolejności prowadzący zajęcia, następnie kierownik przedmiotu, kierownik dydaktyczny </w:t>
      </w:r>
      <w:r w:rsidRPr="00631E9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 w razie potrzeby Kierownik Katedry Farmakologii i Toksykologii.</w:t>
      </w:r>
    </w:p>
    <w:p w14:paraId="5F0C2BAA" w14:textId="77777777" w:rsidR="001220EC" w:rsidRPr="00631E9F" w:rsidRDefault="001220EC" w:rsidP="001220E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0F40733" w14:textId="77777777" w:rsidR="001220EC" w:rsidRPr="00631E9F" w:rsidRDefault="001220EC" w:rsidP="001220EC">
      <w:pPr>
        <w:spacing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31E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Wszelkie sprawy nie ujęte w niniejszym regulaminie leżą w gestii Kierownika Katedry.</w:t>
      </w:r>
    </w:p>
    <w:p w14:paraId="1243BC03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rStyle w:val="Pogrubienie"/>
          <w:color w:val="000000" w:themeColor="text1"/>
        </w:rPr>
      </w:pPr>
      <w:r w:rsidRPr="00631E9F">
        <w:rPr>
          <w:rStyle w:val="Pogrubienie"/>
          <w:color w:val="000000" w:themeColor="text1"/>
        </w:rPr>
        <w:t>WYTYCZNE BHP</w:t>
      </w:r>
    </w:p>
    <w:p w14:paraId="4B908838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1. Studenci mogą przebywać w salach ćwiczeniowych w obecności prowadzącego zajęcia.</w:t>
      </w:r>
    </w:p>
    <w:p w14:paraId="02C6B0FA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2. Niedopuszczalnym jest przebywanie na zajęciach pod wpływem alkoholu lub środków psychoaktywnych.</w:t>
      </w:r>
    </w:p>
    <w:p w14:paraId="1B801820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3. Zabrania się z korzystania z jakichkolwiek urządzeń będących na wyposażeniu pracowni , sali dydaktycznej bez wyraźnej zgody prowadzącego zajęcia.</w:t>
      </w:r>
    </w:p>
    <w:p w14:paraId="1C2A4B09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4. Na terenie katedry należy utrzymywać porządek i czystość oraz zachować ciszę, palenie tytoniu jest wzbronione. W trakcie trwania zajęć zabrania się spożywania posiłków.</w:t>
      </w:r>
    </w:p>
    <w:p w14:paraId="1D8D66B9" w14:textId="77777777" w:rsidR="001220EC" w:rsidRPr="00631E9F" w:rsidRDefault="001220EC" w:rsidP="001220EC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5. Na terenie katedry obowiązuje zmiana obuwia bądź używanie nakładek ochronnych.</w:t>
      </w:r>
    </w:p>
    <w:p w14:paraId="2AAB5009" w14:textId="32695091" w:rsidR="00DE7EE6" w:rsidRPr="00631E9F" w:rsidRDefault="001220EC" w:rsidP="00BA4E65">
      <w:pPr>
        <w:pStyle w:val="NormalnyWeb"/>
        <w:spacing w:beforeAutospacing="0" w:after="0" w:afterAutospacing="0"/>
        <w:jc w:val="both"/>
        <w:rPr>
          <w:color w:val="000000" w:themeColor="text1"/>
        </w:rPr>
      </w:pPr>
      <w:r w:rsidRPr="00631E9F">
        <w:rPr>
          <w:color w:val="000000" w:themeColor="text1"/>
        </w:rPr>
        <w:br/>
        <w:t>6. Wszelkie zdarzenia, wypadki należy natychmiast zgłaszać osobie prowadzącej zajęcia dydaktyczne.</w:t>
      </w:r>
    </w:p>
    <w:sectPr w:rsidR="00DE7EE6" w:rsidRPr="00631E9F" w:rsidSect="002369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AC2"/>
    <w:multiLevelType w:val="hybridMultilevel"/>
    <w:tmpl w:val="8D5C73AA"/>
    <w:lvl w:ilvl="0" w:tplc="C180C6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719CDF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1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EC"/>
    <w:rsid w:val="00031843"/>
    <w:rsid w:val="001220EC"/>
    <w:rsid w:val="00312172"/>
    <w:rsid w:val="003D0160"/>
    <w:rsid w:val="00631E9F"/>
    <w:rsid w:val="006D5DD0"/>
    <w:rsid w:val="00706F43"/>
    <w:rsid w:val="00BA4E65"/>
    <w:rsid w:val="00D17944"/>
    <w:rsid w:val="00DE7EE6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6D1"/>
  <w15:chartTrackingRefBased/>
  <w15:docId w15:val="{955862B3-2EED-4F50-99E7-606A573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0E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1220E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122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20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0EC"/>
    <w:pPr>
      <w:ind w:left="720"/>
      <w:contextualSpacing/>
    </w:pPr>
  </w:style>
  <w:style w:type="character" w:customStyle="1" w:styleId="size">
    <w:name w:val="size"/>
    <w:basedOn w:val="Domylnaczcionkaakapitu"/>
    <w:rsid w:val="001220EC"/>
  </w:style>
  <w:style w:type="paragraph" w:customStyle="1" w:styleId="Default">
    <w:name w:val="Default"/>
    <w:rsid w:val="00F9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Jurewicz</dc:creator>
  <cp:keywords/>
  <dc:description/>
  <cp:lastModifiedBy>Aleksandra Witkowska</cp:lastModifiedBy>
  <cp:revision>5</cp:revision>
  <dcterms:created xsi:type="dcterms:W3CDTF">2022-11-17T20:04:00Z</dcterms:created>
  <dcterms:modified xsi:type="dcterms:W3CDTF">2023-10-03T20:01:00Z</dcterms:modified>
</cp:coreProperties>
</file>