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38" w:type="dxa"/>
        <w:tblLook w:val="04A0" w:firstRow="1" w:lastRow="0" w:firstColumn="1" w:lastColumn="0" w:noHBand="0" w:noVBand="1"/>
      </w:tblPr>
      <w:tblGrid>
        <w:gridCol w:w="2835"/>
        <w:gridCol w:w="8503"/>
      </w:tblGrid>
      <w:tr w:rsidR="006A73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73C9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360045" distB="360045" distL="114300" distR="114300" simplePos="0" relativeHeight="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</wp:posOffset>
                  </wp:positionV>
                  <wp:extent cx="989965" cy="810260"/>
                  <wp:effectExtent l="0" t="0" r="0" b="0"/>
                  <wp:wrapSquare wrapText="bothSides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:rsidR="006A73C9" w:rsidRDefault="00000000">
            <w:pPr>
              <w:spacing w:after="0" w:line="276" w:lineRule="auto"/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UNIWERSYTET WARMIŃSKO-MAZURSKI W OLSZTYNIE</w:t>
            </w:r>
          </w:p>
          <w:p w:rsidR="006A73C9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Wydział Lekarski</w:t>
            </w:r>
          </w:p>
        </w:tc>
      </w:tr>
      <w:tr w:rsidR="006A73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73C9" w:rsidRDefault="006A73C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:rsidR="006A73C9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Sylabus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przedmiotu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część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A</w:t>
            </w:r>
          </w:p>
        </w:tc>
      </w:tr>
      <w:tr w:rsidR="006A73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73C9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48SJ-MEDRO12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:rsidR="006A73C9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Medycyna rodzinna 1/2</w:t>
            </w:r>
          </w:p>
        </w:tc>
      </w:tr>
      <w:tr w:rsidR="006A73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73C9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ECTS: 4.00 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:rsidR="006A73C9" w:rsidRDefault="006A73C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73C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73C9" w:rsidRDefault="0000000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CYKL:  2023Z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:rsidR="006A73C9" w:rsidRDefault="006A73C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6A73C9" w:rsidRDefault="006A73C9">
      <w:pPr>
        <w:rPr>
          <w:sz w:val="28"/>
          <w:szCs w:val="28"/>
        </w:rPr>
      </w:pP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8501"/>
        <w:gridCol w:w="2827"/>
      </w:tblGrid>
      <w:tr w:rsidR="006A73C9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6A73C9" w:rsidRDefault="0000000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TREŚCI MERYTORYCZNE</w:t>
            </w:r>
          </w:p>
          <w:p w:rsidR="006A73C9" w:rsidRDefault="006A73C9">
            <w:pPr>
              <w:spacing w:after="0" w:line="240" w:lineRule="auto"/>
              <w:jc w:val="both"/>
            </w:pPr>
          </w:p>
          <w:p w:rsidR="006A73C9" w:rsidRDefault="0000000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WYKŁAD</w:t>
            </w:r>
          </w:p>
          <w:p w:rsidR="006A73C9" w:rsidRDefault="00000000">
            <w:pPr>
              <w:spacing w:after="0" w:line="240" w:lineRule="auto"/>
              <w:jc w:val="both"/>
            </w:pPr>
            <w:r>
              <w:t>1. Profilaktyka i promocja zdrowia. 2. Laktacja, leczenie matki karmiącej, kinetyka transportu leków do  mleka. 3. Szczepienia w praktyce POZ 4. Infekcje górnych dróg oddechowych.  5. Odpowiedzialność prawna lekarza rodzinnego, podejmowanie decyzji. 6. Uzależnienia. Przemoc w rodzinie. 7. Podstawy organizacyjno-prawne medycyny rodzinnej. 8. Problemy nefrologiczne w praktyce lekarza rodzinnego 9. Choroby układ oddechowy w praktyce lekarza rodzinnego.</w:t>
            </w:r>
          </w:p>
          <w:p w:rsidR="006A73C9" w:rsidRDefault="006A73C9">
            <w:pPr>
              <w:spacing w:after="0" w:line="240" w:lineRule="auto"/>
              <w:jc w:val="both"/>
            </w:pPr>
          </w:p>
          <w:p w:rsidR="006A73C9" w:rsidRDefault="0000000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SEMINARIUM</w:t>
            </w:r>
          </w:p>
          <w:p w:rsidR="006A73C9" w:rsidRDefault="00000000">
            <w:pPr>
              <w:spacing w:after="0" w:line="240" w:lineRule="auto"/>
              <w:jc w:val="both"/>
            </w:pPr>
            <w:r>
              <w:t xml:space="preserve">Organizacja praktyki lekarza rodzinnego. Formy organizacji prawnej praktyki lekarza rodzinnego. Zakres kompetencji lekarza rodzinnego. Struktura organizacyjna obecnego systemu opieki zdrowotnej. Zależność fachowa, finansowa, polityczna. Współpraca z pielęgniarką środowiskowo-rodzinną. Współpraca z położną środowiskowo </w:t>
            </w:r>
            <w:proofErr w:type="spellStart"/>
            <w:r>
              <w:t>rodzinną.Podstawy</w:t>
            </w:r>
            <w:proofErr w:type="spellEnd"/>
            <w:r>
              <w:t xml:space="preserve"> orzecznictwa lekarskiego. Orzekanie o czasowej niezdolności do pracy. Orzekanie rentowe. Grupy inwalidzkie. Wnioski o leczenie sanatoryjne. Przewlekły zespół bólowy kręgosłupa. Bóle </w:t>
            </w:r>
            <w:proofErr w:type="spellStart"/>
            <w:r>
              <w:t>kostnostawowe</w:t>
            </w:r>
            <w:proofErr w:type="spellEnd"/>
            <w:r>
              <w:t>, diagnostyka i postępowanie. Nadciśnienie tętnicze i choroba wieńcowa. Choroby nerek w praktyce lekarza rodzinnego. Choroby hematologiczne w praktyce lekarza rodzinnego. Najpowszechniejsze dolegliwości gastryczne i metody postępowania. Przewlekła terapia przeciwzakrzepowa.</w:t>
            </w:r>
          </w:p>
          <w:p w:rsidR="006A73C9" w:rsidRDefault="006A73C9">
            <w:pPr>
              <w:spacing w:after="0" w:line="240" w:lineRule="auto"/>
              <w:jc w:val="both"/>
            </w:pPr>
          </w:p>
          <w:p w:rsidR="006A73C9" w:rsidRDefault="0000000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ĆWICZENIA</w:t>
            </w:r>
          </w:p>
          <w:p w:rsidR="006A73C9" w:rsidRDefault="00000000">
            <w:pPr>
              <w:spacing w:after="0" w:line="240" w:lineRule="auto"/>
              <w:jc w:val="both"/>
            </w:pPr>
            <w:r>
              <w:t>Bezpośrednie uczestniczenie w przyjęciach w praktyce lekarskiej. Samodzielne udzielanie porad lekarskich wraz z zaleceniami dotyczącymi diagnostyki i terapii.</w:t>
            </w:r>
          </w:p>
          <w:p w:rsidR="006A73C9" w:rsidRDefault="006A73C9">
            <w:pPr>
              <w:spacing w:after="0" w:line="240" w:lineRule="auto"/>
              <w:jc w:val="both"/>
            </w:pPr>
          </w:p>
          <w:p w:rsidR="006A73C9" w:rsidRDefault="006A73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A73C9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CEL KSZTAŁCENIA</w:t>
            </w:r>
          </w:p>
          <w:p w:rsidR="006A73C9" w:rsidRDefault="00000000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Zapoznanie</w:t>
            </w:r>
            <w:proofErr w:type="spellEnd"/>
            <w:r>
              <w:rPr>
                <w:lang w:val="en-US"/>
              </w:rPr>
              <w:t xml:space="preserve"> ze </w:t>
            </w:r>
            <w:proofErr w:type="spellStart"/>
            <w:r>
              <w:rPr>
                <w:lang w:val="en-US"/>
              </w:rPr>
              <w:t>specyfiką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pracy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lekarza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rodzinnego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jego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rolą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systemie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opieki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zdrowotnej</w:t>
            </w:r>
            <w:proofErr w:type="spellEnd"/>
            <w:r>
              <w:rPr>
                <w:lang w:val="en-US"/>
              </w:rPr>
              <w:t xml:space="preserve"> min. </w:t>
            </w:r>
            <w:proofErr w:type="spellStart"/>
            <w:r>
              <w:rPr>
                <w:lang w:val="en-US"/>
              </w:rPr>
              <w:t>specyfiki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pediatrycznych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problemów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dorosłego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geriatrycznych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realizowanych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podstawowe</w:t>
            </w:r>
            <w:proofErr w:type="spellEnd"/>
            <w:r>
              <w:rPr>
                <w:lang w:val="en-US"/>
              </w:rPr>
              <w:t xml:space="preserve"> j </w:t>
            </w:r>
            <w:proofErr w:type="spellStart"/>
            <w:r>
              <w:rPr>
                <w:lang w:val="en-US"/>
              </w:rPr>
              <w:t>opiece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zdrowotnej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Rozwiązywanie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problemów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zakresu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patologii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rodzinnej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środowiskowej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przemocy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rodzinie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opieki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rodzinie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opieki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przewlekle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chorym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wraz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zadaniami</w:t>
            </w:r>
            <w:proofErr w:type="spellEnd"/>
            <w:r>
              <w:rPr>
                <w:lang w:val="en-US"/>
              </w:rPr>
              <w:t xml:space="preserve">  z </w:t>
            </w:r>
            <w:proofErr w:type="spellStart"/>
            <w:r>
              <w:rPr>
                <w:lang w:val="en-US"/>
              </w:rPr>
              <w:t>zakresu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medycyny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paliatywnej</w:t>
            </w:r>
            <w:proofErr w:type="spellEnd"/>
            <w:r>
              <w:rPr>
                <w:lang w:val="en-US"/>
              </w:rPr>
              <w:t xml:space="preserve">.  </w:t>
            </w:r>
            <w:proofErr w:type="spellStart"/>
            <w:r>
              <w:rPr>
                <w:lang w:val="en-US"/>
              </w:rPr>
              <w:t>Rozpoznawanie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terapia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uzależnień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praktyce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lekarza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rodzinnego</w:t>
            </w:r>
            <w:proofErr w:type="spellEnd"/>
            <w:r>
              <w:rPr>
                <w:lang w:val="en-US"/>
              </w:rPr>
              <w:t>.</w:t>
            </w:r>
          </w:p>
          <w:p w:rsidR="006A73C9" w:rsidRDefault="006A73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A73C9" w:rsidRDefault="0000000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 w:eastAsia="pl-PL"/>
              </w:rPr>
              <w:t>OPIS EFEKTÓW UCZENIA SIĘ PRZEDMIOTU W ODNIESIENIU DO OPISU CHARAKTERYSTYK DRUGIEGO STOPNIA EFEKTÓW UCZENIA SIĘ DLA KWALIFIKACJI NA POZIOMACH 6-8 POLSKIEJ RAMY KWALIFIKACJI W ODNIESIENIU DO DYSCYPLIN NAUKOWYCH I EFEKTÓW KIERUNKOWYCH</w:t>
            </w:r>
          </w:p>
          <w:p w:rsidR="006A73C9" w:rsidRDefault="006A73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tbl>
            <w:tblPr>
              <w:tblStyle w:val="Tabela-Siatka"/>
              <w:tblW w:w="5000" w:type="pct"/>
              <w:tblCellMar>
                <w:bottom w:w="284" w:type="dxa"/>
              </w:tblCellMar>
              <w:tblLook w:val="04A0" w:firstRow="1" w:lastRow="0" w:firstColumn="1" w:lastColumn="0" w:noHBand="0" w:noVBand="1"/>
            </w:tblPr>
            <w:tblGrid>
              <w:gridCol w:w="4142"/>
              <w:gridCol w:w="4143"/>
            </w:tblGrid>
            <w:tr w:rsidR="006A73C9">
              <w:tc>
                <w:tcPr>
                  <w:tcW w:w="4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3C9" w:rsidRDefault="00000000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Symbole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efektów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dyscyplinowych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M/NMA_P7S_KO+++, M/NMA_P7S_WG+++, M/NMA_P7S_UW+++, M/NMA_P7S_KR+++, M/NM+++</w:t>
                  </w:r>
                </w:p>
              </w:tc>
            </w:tr>
            <w:tr w:rsidR="006A73C9">
              <w:tc>
                <w:tcPr>
                  <w:tcW w:w="4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0" w:type="dxa"/>
                  </w:tcMar>
                  <w:vAlign w:val="center"/>
                </w:tcPr>
                <w:p w:rsidR="006A73C9" w:rsidRDefault="00000000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Symbole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efektów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kierunkowych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0" w:type="dxa"/>
                  </w:tcMar>
                </w:tcPr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E.U38.+, K.3.+, M/NM_E.W38.+, M/NM_E.W39.+, K.2.+, K.1.+, E.U29.+, M/NM_E.W3.+, E.U1.+, E.U3.+</w:t>
                  </w:r>
                </w:p>
              </w:tc>
            </w:tr>
          </w:tbl>
          <w:p w:rsidR="006A73C9" w:rsidRDefault="006A73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A73C9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EFEKTY UCZENIA SIĘ:</w:t>
            </w:r>
          </w:p>
          <w:p w:rsidR="006A73C9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Wiedza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W1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przyczyny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objawy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zasady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diagnozowania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postępowania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terapeutycznego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przypadku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najczęstszych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dzieci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: 1)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krzywicy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tężyczki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drgawek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2) wad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serca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zapalenia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mięśnia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sercowego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wsierdzia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osierdzia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kardiomiopatii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zaburzeń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rytmu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serca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niewydolności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serca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nadciśnienia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tętniczego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omdleń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3)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ostrych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przewlekłych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górnych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dolnych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dróg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oddechowych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wad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wrodzonych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układu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oddechowego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gruźlicy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mukowiscydozy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astmy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alergicznego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nieżytu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nosa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pokrzywki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wstrząsu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anafilaktycznego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obrzęku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naczynioworuchowego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4)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niedokrwistości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skaz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krwotocznych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stanów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niewydolności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szpiku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nowotworowych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wieku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dziecięcego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tym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guzów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litych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typowych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dla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wieku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dziecięcego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5)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ostrych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przewlekłych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bólów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brzucha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wymiotów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biegunek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zaparć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krwawień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przewodu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pokarmowego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choroby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wrzodowej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nieswoistych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jelit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trzustki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cholestaz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wątroby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oraz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innych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nabytych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wad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wrodzonych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przewodu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pokarmowego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6)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zakażeń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układu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moczowego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wad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wrodzonych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układu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moczowego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zespołu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nerczycowego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kamicy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nerkowej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ostrej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przewlekłej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niewydolności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nerek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ostrych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przewlekłych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zapaleń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nerek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układowych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nerek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zaburzeń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oddawania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moczu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choroby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refluksowej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pęcherzowo-moczowodowej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7)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zaburzeń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wzrastania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tarczycy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przytarczyc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nadnerczy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cukrzycy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otyłości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zaburzeń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dojrzewania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funkcji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gonad, 8)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mózgowego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porażenia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dziecięcego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zapaleń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mózgu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opon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mózgowo-rdzeniowych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padaczki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9)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najczęstszych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zakaźnych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wieku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dziecięcego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10)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zespołów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genetycznych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11)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chorób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tkanki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łącznej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gorączki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reumatycznej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młodzieńczego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zapalenia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stawów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tocznia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układowego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zapalenia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skórno-mięśniowego</w:t>
                  </w:r>
                  <w:proofErr w:type="spellEnd"/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W2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przyczyny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objawy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zasady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diagnozowania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postępowania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terapeutycznego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najczęstszych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chorobach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specyficznych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problemach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praktyce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lekarza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rodzinnego</w:t>
                  </w:r>
                  <w:proofErr w:type="spellEnd"/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W3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rodzaje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materiałów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biologicznych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wykorzystywanych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diagnostyce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laboratoryjnej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zasady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pobierania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materiału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do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badań</w:t>
                  </w:r>
                  <w:proofErr w:type="spellEnd"/>
                </w:p>
              </w:tc>
            </w:tr>
          </w:tbl>
          <w:p w:rsidR="006A73C9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Umiejętności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przeprowadzać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wywiad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lekarski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pacjentem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dorosłym</w:t>
                  </w:r>
                  <w:proofErr w:type="spellEnd"/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U2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przeprowadzać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pełne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ukierunkowane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badanie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fizykalne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dorosłego</w:t>
                  </w:r>
                  <w:proofErr w:type="spellEnd"/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U3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wykonywać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podstawowe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procedury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zabiegi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medyczne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tym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: 1)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pomiar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temperatury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ciała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powierzchownej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oraz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głębokiej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),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pomiar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tętna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nieinwazyjny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pomiar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ciśnienia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tętniczego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2)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monitorowanie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parametrów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życiowych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pomocy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kardiomonitora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pulsoksymetrię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3)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badanie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spirometryczne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leczenie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tlenem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wentylację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wspomaganą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zastępczą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4)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wprowadzenie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rurki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ustno-gardłowej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5)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wstrzyknięcia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dożylne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domięśniowe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podskórne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kaniulację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żył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obwodowych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pobieranie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obwodowej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żylnej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pobieranie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posiew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pobieranie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tętniczej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pobieranie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arterializowanej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włośniczkowej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6)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pobieranie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wymazów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nosa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gardła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skóry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7)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cewnikowanie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pęcherza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moczowego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u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kobiet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mężczyzn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zgłębnikowanie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żołądka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płukanie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żołądka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enemę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8)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standardowy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elektrokardiogram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spoczynkowy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wraz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interpretacją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kardiowersję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elektryczną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defibrylację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serca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9)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proste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testy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paskowe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pomiar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stężenia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glukozy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we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krwi</w:t>
                  </w:r>
                  <w:proofErr w:type="spellEnd"/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U4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prowadzić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dokumentację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medyczną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pacjenta</w:t>
                  </w:r>
                  <w:proofErr w:type="spellEnd"/>
                </w:p>
              </w:tc>
            </w:tr>
          </w:tbl>
          <w:p w:rsidR="006A73C9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Kompetencje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społeczne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K1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nawiązania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utrzymania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głębokiego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oraz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pełnego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szacunku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kontaktu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z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pacjentem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, a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także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okazywania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zrozumienia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dla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różnic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światopoglądowych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kulturowych</w:t>
                  </w:r>
                  <w:proofErr w:type="spellEnd"/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K2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kierowania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się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dobrem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pacjenta</w:t>
                  </w:r>
                  <w:proofErr w:type="spellEnd"/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  <w:rPr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 xml:space="preserve">K3 – </w:t>
                  </w:r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przestrzegania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tajemnicy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lekarskiej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i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praw</w:t>
                  </w:r>
                  <w:proofErr w:type="spellEnd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hd w:val="clear" w:color="auto" w:fill="FFFFFF"/>
                      <w:lang w:val="en-US"/>
                    </w:rPr>
                    <w:t>pacjenta</w:t>
                  </w:r>
                  <w:proofErr w:type="spellEnd"/>
                </w:p>
              </w:tc>
            </w:tr>
          </w:tbl>
          <w:p w:rsidR="006A73C9" w:rsidRDefault="006A73C9">
            <w:pPr>
              <w:spacing w:after="0" w:line="240" w:lineRule="auto"/>
              <w:rPr>
                <w:lang w:val="en-US"/>
              </w:rPr>
            </w:pPr>
          </w:p>
          <w:p w:rsidR="006A73C9" w:rsidRDefault="00000000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FORMY I METODY DYDAKTYCZNE: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</w:pPr>
                  <w:r>
                    <w:t>Wykład(W1;W2;W3;K1;K2;K3;):wykład</w:t>
                  </w:r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</w:pPr>
                  <w:r>
                    <w:t>Seminarium(W1;W2;W3;K1;K2;K3;):seminarium</w:t>
                  </w:r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</w:pPr>
                  <w:r>
                    <w:t>Ćwiczenia(W1;W2;W3;U1;U2;U3;U4;K1;K2;K3;):ćwiczenia praktyczne</w:t>
                  </w:r>
                </w:p>
              </w:tc>
            </w:tr>
          </w:tbl>
          <w:p w:rsidR="006A73C9" w:rsidRDefault="006A73C9">
            <w:pPr>
              <w:spacing w:after="0" w:line="240" w:lineRule="auto"/>
            </w:pPr>
          </w:p>
          <w:p w:rsidR="006A73C9" w:rsidRDefault="000000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FORMA I WARUNKI WERYFIKACJI EFEKTÓW UCZENIA SIĘ: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</w:pPr>
                  <w:r>
                    <w:t>Wykład (Test kompetencyjny) - test składający się z 50 pytań wielokrotnego wyboru obejmujący zakres tematów seminariów i wykładów; warunkiem zaliczenia jest uzyskanie minimum 60% prawidłowych odpowiedzi  - W1, W2, W3</w:t>
                  </w:r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</w:pPr>
                  <w:r>
                    <w:t>Seminarium (Udział w dyskusji) - omawianie problemów, studium przypadków  - W1, W2, W3</w:t>
                  </w:r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  <w:jc w:val="both"/>
                  </w:pPr>
                  <w:r>
                    <w:lastRenderedPageBreak/>
                    <w:t>Ćwiczenia (Kolokwium praktyczne) - studenci uczestniczą w przyjęciach pacjentów w POZ, wymagana jest umiejętność zbierania wywiadu w sposób celowany, znajomość podstaw badania fizykalnego, interpretacji wyników badań, umiejętność ordynowania podstawowych leków w tym przede wszystkim antybiotyków i NLPZ - W1, W2, W3, U1, U2, U3, U4, K1, K2, K3</w:t>
                  </w:r>
                </w:p>
              </w:tc>
            </w:tr>
          </w:tbl>
          <w:p w:rsidR="006A73C9" w:rsidRDefault="006A73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A73C9" w:rsidRDefault="00000000">
            <w:pPr>
              <w:spacing w:after="0" w:line="240" w:lineRule="auto"/>
            </w:pPr>
            <w:r>
              <w:rPr>
                <w:b/>
                <w:bCs/>
              </w:rPr>
              <w:t>LITERATURA PODSTAWOWA: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</w:pPr>
                  <w:r>
                    <w:t xml:space="preserve">1. Latkowski B., Lukas W., </w:t>
                  </w:r>
                  <w:proofErr w:type="spellStart"/>
                  <w:r>
                    <w:t>Godycki-Ćwirko</w:t>
                  </w:r>
                  <w:proofErr w:type="spellEnd"/>
                  <w:r>
                    <w:t xml:space="preserve"> M., </w:t>
                  </w:r>
                  <w:r>
                    <w:rPr>
                      <w:i/>
                      <w:iCs/>
                    </w:rPr>
                    <w:t>Medycyna rodzinna</w:t>
                  </w:r>
                  <w:r>
                    <w:t>, Tom I, II, Wyd. Wydawnictwo Lekarskie PZWL, R. 2017</w:t>
                  </w:r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</w:pPr>
                  <w:r>
                    <w:t xml:space="preserve">2. Windak A., </w:t>
                  </w:r>
                  <w:proofErr w:type="spellStart"/>
                  <w:r>
                    <w:t>Chlabicz</w:t>
                  </w:r>
                  <w:proofErr w:type="spellEnd"/>
                  <w:r>
                    <w:t xml:space="preserve"> S., Mastalerz-Migas A., </w:t>
                  </w:r>
                  <w:r>
                    <w:rPr>
                      <w:i/>
                      <w:iCs/>
                    </w:rPr>
                    <w:t>Medycyna rodzinna. Podręcznik dla lekarzy  i studentów</w:t>
                  </w:r>
                  <w:r>
                    <w:t xml:space="preserve">, Wyd. Wydawnictwo </w:t>
                  </w:r>
                  <w:proofErr w:type="spellStart"/>
                  <w:r>
                    <w:t>Termedia</w:t>
                  </w:r>
                  <w:proofErr w:type="spellEnd"/>
                  <w:r>
                    <w:t>, R. 2015</w:t>
                  </w:r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</w:pPr>
                  <w:r>
                    <w:t>3. Dzierżanowska-</w:t>
                  </w:r>
                  <w:proofErr w:type="spellStart"/>
                  <w:r>
                    <w:t>Fangrat</w:t>
                  </w:r>
                  <w:proofErr w:type="spellEnd"/>
                  <w:r>
                    <w:t xml:space="preserve"> K., </w:t>
                  </w:r>
                  <w:r>
                    <w:rPr>
                      <w:i/>
                      <w:iCs/>
                    </w:rPr>
                    <w:t>Przewodnik antybiotykoterapii 2023</w:t>
                  </w:r>
                  <w:r>
                    <w:t xml:space="preserve">, Wyd. Wydawnictwo Alfa </w:t>
                  </w:r>
                  <w:proofErr w:type="spellStart"/>
                  <w:r>
                    <w:t>Medica</w:t>
                  </w:r>
                  <w:proofErr w:type="spellEnd"/>
                  <w:r>
                    <w:t xml:space="preserve"> Press, R. 2023</w:t>
                  </w:r>
                </w:p>
              </w:tc>
            </w:tr>
          </w:tbl>
          <w:p w:rsidR="006A73C9" w:rsidRDefault="006A73C9">
            <w:pPr>
              <w:spacing w:after="0" w:line="240" w:lineRule="auto"/>
              <w:rPr>
                <w:sz w:val="24"/>
                <w:szCs w:val="24"/>
              </w:rPr>
            </w:pPr>
          </w:p>
          <w:p w:rsidR="006A73C9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LITERATURA UZUPEŁNIAJĄCA:</w:t>
            </w: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8285"/>
            </w:tblGrid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</w:pPr>
                  <w:r>
                    <w:t xml:space="preserve">1. Szczeklik A., Gajewski P., </w:t>
                  </w:r>
                  <w:r>
                    <w:rPr>
                      <w:i/>
                      <w:iCs/>
                    </w:rPr>
                    <w:t>Interna Szczeklika 2023</w:t>
                  </w:r>
                  <w:r>
                    <w:t>, Wyd. Wydawnictwo Medycyna Praktyczna, R. 2023</w:t>
                  </w:r>
                </w:p>
              </w:tc>
            </w:tr>
            <w:tr w:rsidR="006A73C9">
              <w:tc>
                <w:tcPr>
                  <w:tcW w:w="8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Kulus</w:t>
                  </w:r>
                  <w:proofErr w:type="spellEnd"/>
                  <w:r>
                    <w:t xml:space="preserve"> M., Grenda R., Kawalec W., </w:t>
                  </w:r>
                  <w:r>
                    <w:rPr>
                      <w:i/>
                      <w:iCs/>
                    </w:rPr>
                    <w:t>Pediatria</w:t>
                  </w:r>
                  <w:r>
                    <w:t>, Wyd. Wydawnictwo Lekarskie PZWL, R. 2018</w:t>
                  </w:r>
                </w:p>
              </w:tc>
            </w:tr>
          </w:tbl>
          <w:p w:rsidR="006A73C9" w:rsidRDefault="006A73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:rsidR="006A73C9" w:rsidRDefault="006A73C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691"/>
            </w:tblGrid>
            <w:tr w:rsidR="006A73C9"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Akty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prawne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określające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efekty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uczenia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się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</w:p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672/2020, 3112022</w:t>
                  </w:r>
                </w:p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Dyscypliny: </w:t>
                  </w:r>
                  <w:r>
                    <w:rPr>
                      <w:sz w:val="16"/>
                      <w:szCs w:val="16"/>
                    </w:rPr>
                    <w:t>nauki medyczne</w:t>
                  </w:r>
                </w:p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Status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przedmiotu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Obligatoryjny</w:t>
                  </w:r>
                  <w:proofErr w:type="spellEnd"/>
                </w:p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Grupa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przedmiotów:</w:t>
                  </w:r>
                  <w:r>
                    <w:rPr>
                      <w:sz w:val="16"/>
                      <w:szCs w:val="16"/>
                      <w:lang w:val="en-US"/>
                    </w:rPr>
                    <w:t>B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-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przedmioty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kierunkowe</w:t>
                  </w:r>
                  <w:proofErr w:type="spellEnd"/>
                </w:p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Kod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ISCED </w:t>
                  </w:r>
                  <w:r>
                    <w:rPr>
                      <w:sz w:val="16"/>
                      <w:szCs w:val="16"/>
                      <w:lang w:val="en-US"/>
                    </w:rPr>
                    <w:t>0912</w:t>
                  </w:r>
                </w:p>
                <w:p w:rsidR="006A73C9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Kierunek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studiów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Kierunek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lekarski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Kierunek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lekarski</w:t>
                  </w:r>
                  <w:proofErr w:type="spellEnd"/>
                </w:p>
                <w:p w:rsidR="006A73C9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Zakres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kształcenia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  <w:p w:rsidR="006A73C9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Profil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kształcenia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Ogólnoakademicki</w:t>
                  </w:r>
                  <w:proofErr w:type="spellEnd"/>
                </w:p>
                <w:p w:rsidR="006A73C9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Forma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studiów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Stacjonarne</w:t>
                  </w:r>
                  <w:proofErr w:type="spellEnd"/>
                </w:p>
                <w:p w:rsidR="006A73C9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Poziom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studiów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Jednolite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magisterskie</w:t>
                  </w:r>
                  <w:proofErr w:type="spellEnd"/>
                </w:p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Rok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semestr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6"/>
                      <w:szCs w:val="16"/>
                      <w:lang w:val="en-US"/>
                    </w:rPr>
                    <w:t>5/9</w:t>
                  </w:r>
                </w:p>
                <w:p w:rsidR="006A73C9" w:rsidRDefault="006A73C9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6A73C9" w:rsidRDefault="006A73C9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691"/>
            </w:tblGrid>
            <w:tr w:rsidR="006A73C9">
              <w:trPr>
                <w:trHeight w:val="2613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6A73C9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Rodzaj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zajęć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Wykład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Seminarium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Ćwiczenia</w:t>
                  </w:r>
                  <w:proofErr w:type="spellEnd"/>
                </w:p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Liczba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godzin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w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semestrze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Wykład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: 20.00,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Seminarium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: 30.00,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Ćwiczenia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>: 10.00</w:t>
                  </w:r>
                </w:p>
                <w:p w:rsidR="006A73C9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Język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wykładowy:</w:t>
                  </w:r>
                  <w:r>
                    <w:rPr>
                      <w:sz w:val="16"/>
                      <w:szCs w:val="16"/>
                      <w:lang w:val="en-US"/>
                    </w:rPr>
                    <w:t>polski</w:t>
                  </w:r>
                  <w:proofErr w:type="spellEnd"/>
                </w:p>
                <w:p w:rsidR="006A73C9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Przedmioty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wprowadzające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anatomia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fizjologia</w:t>
                  </w:r>
                  <w:proofErr w:type="spellEnd"/>
                </w:p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Wymagania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wstępne:</w:t>
                  </w:r>
                  <w:r>
                    <w:rPr>
                      <w:sz w:val="16"/>
                      <w:szCs w:val="16"/>
                      <w:lang w:val="en-US"/>
                    </w:rPr>
                    <w:t>podstawowe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wiadomości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obejmujące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budowę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człowieka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fizjologię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człowieka</w:t>
                  </w:r>
                  <w:proofErr w:type="spellEnd"/>
                </w:p>
              </w:tc>
            </w:tr>
          </w:tbl>
          <w:p w:rsidR="006A73C9" w:rsidRDefault="006A73C9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691"/>
            </w:tblGrid>
            <w:tr w:rsidR="006A73C9">
              <w:trPr>
                <w:trHeight w:val="1498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6A73C9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Nazwa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jednostki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org.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realizującej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Katedra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Medycyny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Rodzinnej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Chorób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Zakaźnych</w:t>
                  </w:r>
                  <w:proofErr w:type="spellEnd"/>
                </w:p>
                <w:p w:rsidR="006A73C9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Osoba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odpowiedzialna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za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realizację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przedmiotu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dr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hab. n. med. Jerzy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Romaszko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>, prof. UWM</w:t>
                  </w:r>
                </w:p>
                <w:p w:rsidR="006A73C9" w:rsidRDefault="00000000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e-mail: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jerzy.romaszko@uwm.edu.pl</w:t>
                  </w:r>
                </w:p>
              </w:tc>
            </w:tr>
          </w:tbl>
          <w:p w:rsidR="006A73C9" w:rsidRDefault="006A73C9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691"/>
            </w:tblGrid>
            <w:tr w:rsidR="006A73C9"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6A73C9" w:rsidRDefault="00000000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Uwagi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dodatkowe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</w:tbl>
          <w:p w:rsidR="006A73C9" w:rsidRDefault="006A73C9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  <w:p w:rsidR="006A73C9" w:rsidRDefault="006A73C9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  <w:p w:rsidR="006A73C9" w:rsidRDefault="006A73C9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6A73C9" w:rsidRDefault="006A73C9">
      <w:pPr>
        <w:rPr>
          <w:sz w:val="28"/>
          <w:szCs w:val="28"/>
          <w:lang w:val="en-US"/>
        </w:rPr>
      </w:pPr>
    </w:p>
    <w:p w:rsidR="006A73C9" w:rsidRDefault="00000000">
      <w:pPr>
        <w:rPr>
          <w:sz w:val="28"/>
          <w:szCs w:val="28"/>
          <w:lang w:val="en-US"/>
        </w:rPr>
      </w:pPr>
      <w:r>
        <w:br w:type="page"/>
      </w:r>
    </w:p>
    <w:p w:rsidR="006A73C9" w:rsidRDefault="00000000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lastRenderedPageBreak/>
        <w:t>Szczegółowy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opis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przyznanej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punktacji</w:t>
      </w:r>
      <w:proofErr w:type="spellEnd"/>
      <w:r>
        <w:rPr>
          <w:b/>
          <w:bCs/>
          <w:sz w:val="28"/>
          <w:szCs w:val="28"/>
          <w:lang w:val="en-US"/>
        </w:rPr>
        <w:t xml:space="preserve"> ECTS – </w:t>
      </w:r>
      <w:proofErr w:type="spellStart"/>
      <w:r>
        <w:rPr>
          <w:b/>
          <w:bCs/>
          <w:sz w:val="28"/>
          <w:szCs w:val="28"/>
          <w:lang w:val="en-US"/>
        </w:rPr>
        <w:t>część</w:t>
      </w:r>
      <w:proofErr w:type="spellEnd"/>
      <w:r>
        <w:rPr>
          <w:b/>
          <w:bCs/>
          <w:sz w:val="28"/>
          <w:szCs w:val="28"/>
          <w:lang w:val="en-US"/>
        </w:rPr>
        <w:t xml:space="preserve"> B</w:t>
      </w: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2689"/>
        <w:gridCol w:w="8639"/>
      </w:tblGrid>
      <w:tr w:rsidR="006A73C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6A73C9" w:rsidRDefault="0000000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48SJ-MEDRO12</w:t>
            </w:r>
          </w:p>
          <w:p w:rsidR="006A73C9" w:rsidRDefault="0000000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ECTS: 4.00</w:t>
            </w:r>
          </w:p>
          <w:p w:rsidR="006A73C9" w:rsidRDefault="00000000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CYKL:  2023Z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Medycyna rodzinna 1/2</w:t>
            </w:r>
          </w:p>
          <w:p w:rsidR="006A73C9" w:rsidRDefault="006A73C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A73C9" w:rsidRDefault="006A73C9">
      <w:pPr>
        <w:spacing w:line="240" w:lineRule="auto"/>
      </w:pPr>
    </w:p>
    <w:p w:rsidR="006A73C9" w:rsidRDefault="00000000">
      <w:pPr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przyznaną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liczbę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punktów</w:t>
      </w:r>
      <w:proofErr w:type="spellEnd"/>
      <w:r>
        <w:rPr>
          <w:lang w:val="en-US"/>
        </w:rPr>
        <w:t xml:space="preserve"> ECTS </w:t>
      </w:r>
      <w:proofErr w:type="spellStart"/>
      <w:r>
        <w:rPr>
          <w:lang w:val="en-US"/>
        </w:rPr>
        <w:t>składają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>:</w:t>
      </w:r>
    </w:p>
    <w:p w:rsidR="006A73C9" w:rsidRDefault="00000000">
      <w:r>
        <w:t>1. Godziny kontaktowe z nauczycielem akademickim:</w:t>
      </w:r>
    </w:p>
    <w:tbl>
      <w:tblPr>
        <w:tblStyle w:val="Tabela-Siatka"/>
        <w:tblW w:w="11338" w:type="dxa"/>
        <w:tblLook w:val="04A0" w:firstRow="1" w:lastRow="0" w:firstColumn="1" w:lastColumn="0" w:noHBand="0" w:noVBand="1"/>
      </w:tblPr>
      <w:tblGrid>
        <w:gridCol w:w="9452"/>
        <w:gridCol w:w="1886"/>
      </w:tblGrid>
      <w:tr w:rsidR="006A73C9"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</w:pPr>
            <w:r>
              <w:t>- udział w: Wykład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  <w:jc w:val="right"/>
            </w:pPr>
            <w:r>
              <w:t>20.0 h</w:t>
            </w:r>
          </w:p>
        </w:tc>
      </w:tr>
      <w:tr w:rsidR="006A73C9"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</w:pPr>
            <w:r>
              <w:t>- udział w: Seminarium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  <w:jc w:val="right"/>
            </w:pPr>
            <w:r>
              <w:t>30.0 h</w:t>
            </w:r>
          </w:p>
        </w:tc>
      </w:tr>
      <w:tr w:rsidR="006A73C9"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</w:pPr>
            <w:r>
              <w:t>- udział w: Ćwiczenia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  <w:jc w:val="right"/>
            </w:pPr>
            <w:r>
              <w:t>10.0 h</w:t>
            </w:r>
          </w:p>
        </w:tc>
      </w:tr>
      <w:tr w:rsidR="006A73C9"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</w:pPr>
            <w:r>
              <w:t>- konsultacje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  <w:jc w:val="right"/>
            </w:pPr>
            <w:r>
              <w:t>2.0 h</w:t>
            </w:r>
          </w:p>
        </w:tc>
      </w:tr>
    </w:tbl>
    <w:p w:rsidR="006A73C9" w:rsidRDefault="00000000">
      <w:pPr>
        <w:jc w:val="right"/>
      </w:pPr>
      <w:r>
        <w:t>OGÓŁEM: 62.0 h</w:t>
      </w:r>
    </w:p>
    <w:p w:rsidR="006A73C9" w:rsidRDefault="006A73C9">
      <w:pPr>
        <w:rPr>
          <w:lang w:val="en-US"/>
        </w:rPr>
      </w:pPr>
    </w:p>
    <w:p w:rsidR="006A73C9" w:rsidRDefault="006A73C9">
      <w:pPr>
        <w:rPr>
          <w:lang w:val="en-US"/>
        </w:rPr>
      </w:pPr>
    </w:p>
    <w:p w:rsidR="006A73C9" w:rsidRDefault="00000000">
      <w:r>
        <w:t>2. Samodzielna praca studenta:</w:t>
      </w: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11328"/>
      </w:tblGrid>
      <w:tr w:rsidR="006A73C9">
        <w:tc>
          <w:tcPr>
            <w:tcW w:w="11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555"/>
              <w:gridCol w:w="5557"/>
            </w:tblGrid>
            <w:tr w:rsidR="006A73C9"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360" w:lineRule="auto"/>
                  </w:pPr>
                  <w:r>
                    <w:t>przygotowanie do testu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360" w:lineRule="auto"/>
                    <w:jc w:val="right"/>
                  </w:pPr>
                  <w:r>
                    <w:t>15.00 h</w:t>
                  </w:r>
                </w:p>
              </w:tc>
            </w:tr>
          </w:tbl>
          <w:p w:rsidR="006A73C9" w:rsidRDefault="006A73C9">
            <w:pPr>
              <w:spacing w:after="0" w:line="240" w:lineRule="auto"/>
            </w:pPr>
          </w:p>
        </w:tc>
      </w:tr>
      <w:tr w:rsidR="006A73C9">
        <w:tc>
          <w:tcPr>
            <w:tcW w:w="11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555"/>
              <w:gridCol w:w="5557"/>
            </w:tblGrid>
            <w:tr w:rsidR="006A73C9"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360" w:lineRule="auto"/>
                  </w:pPr>
                  <w:r>
                    <w:t>przygotowanie do kolokwium praktycznego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360" w:lineRule="auto"/>
                    <w:jc w:val="right"/>
                  </w:pPr>
                  <w:r>
                    <w:t>13.00 h</w:t>
                  </w:r>
                </w:p>
              </w:tc>
            </w:tr>
          </w:tbl>
          <w:p w:rsidR="006A73C9" w:rsidRDefault="006A73C9">
            <w:pPr>
              <w:spacing w:after="0" w:line="240" w:lineRule="auto"/>
            </w:pPr>
          </w:p>
        </w:tc>
      </w:tr>
      <w:tr w:rsidR="006A73C9">
        <w:tc>
          <w:tcPr>
            <w:tcW w:w="113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555"/>
              <w:gridCol w:w="5557"/>
            </w:tblGrid>
            <w:tr w:rsidR="006A73C9">
              <w:tc>
                <w:tcPr>
                  <w:tcW w:w="5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360" w:lineRule="auto"/>
                  </w:pPr>
                  <w:r>
                    <w:t>przygotowanie do ćwiczeń i seminariów</w:t>
                  </w:r>
                </w:p>
              </w:tc>
              <w:tc>
                <w:tcPr>
                  <w:tcW w:w="5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73C9" w:rsidRDefault="00000000">
                  <w:pPr>
                    <w:spacing w:after="0" w:line="360" w:lineRule="auto"/>
                    <w:jc w:val="right"/>
                  </w:pPr>
                  <w:r>
                    <w:t>10.00 h</w:t>
                  </w:r>
                </w:p>
              </w:tc>
            </w:tr>
          </w:tbl>
          <w:p w:rsidR="006A73C9" w:rsidRDefault="006A73C9">
            <w:pPr>
              <w:spacing w:after="0" w:line="240" w:lineRule="auto"/>
            </w:pPr>
          </w:p>
        </w:tc>
      </w:tr>
    </w:tbl>
    <w:p w:rsidR="006A73C9" w:rsidRDefault="006A73C9"/>
    <w:p w:rsidR="006A73C9" w:rsidRDefault="006A73C9"/>
    <w:p w:rsidR="006A73C9" w:rsidRDefault="00000000">
      <w:pPr>
        <w:jc w:val="right"/>
      </w:pPr>
      <w:r>
        <w:t>OGÓŁEM:  38.0 h</w:t>
      </w:r>
    </w:p>
    <w:p w:rsidR="006A73C9" w:rsidRDefault="00000000">
      <w:pPr>
        <w:jc w:val="right"/>
      </w:pPr>
      <w:r>
        <w:t>godziny kontaktowe + samodzielna praca studenta     OGÓŁEM:  100.0 h</w:t>
      </w:r>
    </w:p>
    <w:p w:rsidR="006A73C9" w:rsidRDefault="006A73C9">
      <w:pPr>
        <w:jc w:val="right"/>
      </w:pPr>
    </w:p>
    <w:p w:rsidR="006A73C9" w:rsidRDefault="006A73C9"/>
    <w:p w:rsidR="006A73C9" w:rsidRDefault="006A73C9"/>
    <w:p w:rsidR="006A73C9" w:rsidRDefault="00000000">
      <w:pPr>
        <w:pStyle w:val="Bezodstpw"/>
      </w:pPr>
      <w:r>
        <w:t xml:space="preserve">1 punkt ECTS = 25-30 h pracy przeciętnego studenta, </w:t>
      </w:r>
    </w:p>
    <w:p w:rsidR="006A73C9" w:rsidRDefault="00000000">
      <w:r>
        <w:t xml:space="preserve">liczba punktów ECTS= 100.0 h : 25.0 h/ECTS = 4.00  ECTS </w:t>
      </w:r>
    </w:p>
    <w:p w:rsidR="006A73C9" w:rsidRDefault="00000000">
      <w:pPr>
        <w:rPr>
          <w:b/>
          <w:bCs/>
        </w:rPr>
      </w:pPr>
      <w:r>
        <w:t xml:space="preserve">Średnio: </w:t>
      </w:r>
      <w:r>
        <w:rPr>
          <w:b/>
          <w:bCs/>
        </w:rPr>
        <w:t>4.0 ECTS</w:t>
      </w:r>
    </w:p>
    <w:tbl>
      <w:tblPr>
        <w:tblStyle w:val="Tabela-Siatka"/>
        <w:tblW w:w="11328" w:type="dxa"/>
        <w:tblLook w:val="04A0" w:firstRow="1" w:lastRow="0" w:firstColumn="1" w:lastColumn="0" w:noHBand="0" w:noVBand="1"/>
      </w:tblPr>
      <w:tblGrid>
        <w:gridCol w:w="9780"/>
        <w:gridCol w:w="1548"/>
      </w:tblGrid>
      <w:tr w:rsidR="006A73C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</w:pPr>
            <w:r>
              <w:t>- w tym liczba punktów ECTS za godziny kontaktowe z bezpośrednim udziałem nauczyciela  akademickiego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2.48 punktów ECTS</w:t>
            </w:r>
          </w:p>
        </w:tc>
      </w:tr>
      <w:tr w:rsidR="006A73C9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</w:pPr>
            <w:r>
              <w:t>- w tym liczba punktów ECTS za godziny realizowane w formie samodzielnej pracy studenta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9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 punktów ECTS</w:t>
            </w:r>
          </w:p>
        </w:tc>
      </w:tr>
    </w:tbl>
    <w:p w:rsidR="006A73C9" w:rsidRDefault="006A73C9"/>
    <w:sectPr w:rsidR="006A73C9">
      <w:pgSz w:w="11906" w:h="16838"/>
      <w:pgMar w:top="284" w:right="284" w:bottom="284" w:left="28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C9"/>
    <w:rsid w:val="00314CB4"/>
    <w:rsid w:val="006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3D1AC-C765-4846-BFAB-B7930F45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2F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A464D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8168F1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A4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D25812"/>
    <w:rPr>
      <w:sz w:val="22"/>
    </w:rPr>
  </w:style>
  <w:style w:type="table" w:styleId="Tabela-Siatka">
    <w:name w:val="Table Grid"/>
    <w:basedOn w:val="Standardowy"/>
    <w:uiPriority w:val="39"/>
    <w:rsid w:val="00D3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FE4B-BF82-448A-AF9E-260C60C6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dc:description/>
  <cp:lastModifiedBy>Agnieszka Makowska</cp:lastModifiedBy>
  <cp:revision>2</cp:revision>
  <dcterms:created xsi:type="dcterms:W3CDTF">2023-08-24T07:20:00Z</dcterms:created>
  <dcterms:modified xsi:type="dcterms:W3CDTF">2023-08-24T07:20:00Z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