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C9" w:rsidRDefault="00984DC9" w:rsidP="00984D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984DC9" w:rsidRDefault="00984DC9" w:rsidP="00984D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984DC9" w:rsidRDefault="00984DC9" w:rsidP="00984D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984DC9" w:rsidRDefault="00984DC9" w:rsidP="00984D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984DC9" w:rsidRDefault="00984DC9" w:rsidP="00984D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984DC9" w:rsidRDefault="00984DC9" w:rsidP="00984D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  <w:u w:val="single"/>
        </w:rPr>
      </w:pPr>
    </w:p>
    <w:p w:rsidR="00984DC9" w:rsidRDefault="00984DC9" w:rsidP="00984D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  <w:u w:val="single"/>
        </w:rPr>
      </w:pPr>
    </w:p>
    <w:p w:rsidR="00984DC9" w:rsidRPr="00984DC9" w:rsidRDefault="00984DC9" w:rsidP="00984D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  <w:u w:val="single"/>
        </w:rPr>
      </w:pPr>
      <w:r w:rsidRPr="00984DC9">
        <w:rPr>
          <w:rFonts w:ascii="Arial-BoldMT" w:hAnsi="Arial-BoldMT" w:cs="Arial-BoldMT"/>
          <w:b/>
          <w:bCs/>
          <w:sz w:val="16"/>
          <w:szCs w:val="16"/>
          <w:u w:val="single"/>
        </w:rPr>
        <w:t>LITERATURA PODSTAWOWA</w:t>
      </w:r>
    </w:p>
    <w:p w:rsidR="00984DC9" w:rsidRDefault="00984DC9" w:rsidP="00984D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984DC9" w:rsidRDefault="00984DC9" w:rsidP="00984D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1) Szczeklik A, Choroby wewnętrzne , wyd. Medycyna Praktyczna, 2013 ; 2) </w:t>
      </w:r>
      <w:proofErr w:type="spellStart"/>
      <w:r>
        <w:rPr>
          <w:rFonts w:ascii="ArialMT" w:hAnsi="ArialMT" w:cs="ArialMT"/>
          <w:sz w:val="16"/>
          <w:szCs w:val="16"/>
        </w:rPr>
        <w:t>Siegenthaler</w:t>
      </w:r>
      <w:proofErr w:type="spellEnd"/>
      <w:r>
        <w:rPr>
          <w:rFonts w:ascii="ArialMT" w:hAnsi="ArialMT" w:cs="ArialMT"/>
          <w:sz w:val="16"/>
          <w:szCs w:val="16"/>
        </w:rPr>
        <w:t xml:space="preserve"> W, Rozpoznanie</w:t>
      </w:r>
    </w:p>
    <w:p w:rsidR="00984DC9" w:rsidRDefault="00984DC9" w:rsidP="00984D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różnicowe w medycynie wewnętrznej, wyd. </w:t>
      </w:r>
      <w:proofErr w:type="spellStart"/>
      <w:r>
        <w:rPr>
          <w:rFonts w:ascii="ArialMT" w:hAnsi="ArialMT" w:cs="ArialMT"/>
          <w:sz w:val="16"/>
          <w:szCs w:val="16"/>
        </w:rPr>
        <w:t>Medipage</w:t>
      </w:r>
      <w:proofErr w:type="spellEnd"/>
      <w:r>
        <w:rPr>
          <w:rFonts w:ascii="ArialMT" w:hAnsi="ArialMT" w:cs="ArialMT"/>
          <w:sz w:val="16"/>
          <w:szCs w:val="16"/>
        </w:rPr>
        <w:t xml:space="preserve">, 2009 ; 3) </w:t>
      </w:r>
      <w:proofErr w:type="spellStart"/>
      <w:r>
        <w:rPr>
          <w:rFonts w:ascii="ArialMT" w:hAnsi="ArialMT" w:cs="ArialMT"/>
          <w:sz w:val="16"/>
          <w:szCs w:val="16"/>
        </w:rPr>
        <w:t>Dacre</w:t>
      </w:r>
      <w:proofErr w:type="spellEnd"/>
      <w:r>
        <w:rPr>
          <w:rFonts w:ascii="ArialMT" w:hAnsi="ArialMT" w:cs="ArialMT"/>
          <w:sz w:val="16"/>
          <w:szCs w:val="16"/>
        </w:rPr>
        <w:t xml:space="preserve"> J, </w:t>
      </w:r>
      <w:proofErr w:type="spellStart"/>
      <w:r>
        <w:rPr>
          <w:rFonts w:ascii="ArialMT" w:hAnsi="ArialMT" w:cs="ArialMT"/>
          <w:sz w:val="16"/>
          <w:szCs w:val="16"/>
        </w:rPr>
        <w:t>Kopelman</w:t>
      </w:r>
      <w:proofErr w:type="spellEnd"/>
      <w:r>
        <w:rPr>
          <w:rFonts w:ascii="ArialMT" w:hAnsi="ArialMT" w:cs="ArialMT"/>
          <w:sz w:val="16"/>
          <w:szCs w:val="16"/>
        </w:rPr>
        <w:t xml:space="preserve"> P, Badanie kliniczne, wyd.</w:t>
      </w:r>
    </w:p>
    <w:p w:rsidR="00984DC9" w:rsidRDefault="00984DC9" w:rsidP="00984D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wyd. PZWL, 2004 ; 4) Zaborowski P.(red), Podstawy badania klinicznego, wyd. </w:t>
      </w:r>
      <w:proofErr w:type="spellStart"/>
      <w:r>
        <w:rPr>
          <w:rFonts w:ascii="ArialMT" w:hAnsi="ArialMT" w:cs="ArialMT"/>
          <w:sz w:val="16"/>
          <w:szCs w:val="16"/>
        </w:rPr>
        <w:t>Medipage</w:t>
      </w:r>
      <w:proofErr w:type="spellEnd"/>
      <w:r>
        <w:rPr>
          <w:rFonts w:ascii="ArialMT" w:hAnsi="ArialMT" w:cs="ArialMT"/>
          <w:sz w:val="16"/>
          <w:szCs w:val="16"/>
        </w:rPr>
        <w:t>, 2016</w:t>
      </w:r>
    </w:p>
    <w:p w:rsidR="00984DC9" w:rsidRDefault="00984DC9" w:rsidP="00984D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984DC9" w:rsidRPr="00984DC9" w:rsidRDefault="00984DC9" w:rsidP="00984D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  <w:u w:val="single"/>
        </w:rPr>
      </w:pPr>
      <w:r w:rsidRPr="00984DC9">
        <w:rPr>
          <w:rFonts w:ascii="Arial-BoldMT" w:hAnsi="Arial-BoldMT" w:cs="Arial-BoldMT"/>
          <w:b/>
          <w:bCs/>
          <w:sz w:val="16"/>
          <w:szCs w:val="16"/>
          <w:u w:val="single"/>
        </w:rPr>
        <w:t>LITERATURA UZUPEŁNIAJĄCA</w:t>
      </w:r>
    </w:p>
    <w:p w:rsidR="00984DC9" w:rsidRDefault="00984DC9" w:rsidP="00984D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984DC9" w:rsidRDefault="00984DC9" w:rsidP="00984D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1) Herold G (Red.), , Choroby wewnętrzne, wyd. wyd. PZWL, 2008 ; 2) Moczulski D (Red.), Wielka Interna -</w:t>
      </w:r>
    </w:p>
    <w:p w:rsidR="00984DC9" w:rsidRDefault="00984DC9" w:rsidP="00984D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Diabetologia, wyd. </w:t>
      </w:r>
      <w:proofErr w:type="spellStart"/>
      <w:r>
        <w:rPr>
          <w:rFonts w:ascii="ArialMT" w:hAnsi="ArialMT" w:cs="ArialMT"/>
          <w:sz w:val="16"/>
          <w:szCs w:val="16"/>
        </w:rPr>
        <w:t>Medical</w:t>
      </w:r>
      <w:proofErr w:type="spellEnd"/>
      <w:r>
        <w:rPr>
          <w:rFonts w:ascii="ArialMT" w:hAnsi="ArialMT" w:cs="ArialMT"/>
          <w:sz w:val="16"/>
          <w:szCs w:val="16"/>
        </w:rPr>
        <w:t xml:space="preserve"> Tribune, 2010 ; 3) </w:t>
      </w:r>
      <w:proofErr w:type="spellStart"/>
      <w:r>
        <w:rPr>
          <w:rFonts w:ascii="ArialMT" w:hAnsi="ArialMT" w:cs="ArialMT"/>
          <w:sz w:val="16"/>
          <w:szCs w:val="16"/>
        </w:rPr>
        <w:t>Syrenicz</w:t>
      </w:r>
      <w:proofErr w:type="spellEnd"/>
      <w:r>
        <w:rPr>
          <w:rFonts w:ascii="ArialMT" w:hAnsi="ArialMT" w:cs="ArialMT"/>
          <w:sz w:val="16"/>
          <w:szCs w:val="16"/>
        </w:rPr>
        <w:t xml:space="preserve"> A (Red), , Endokrynologia w codziennej praktyce</w:t>
      </w:r>
    </w:p>
    <w:p w:rsidR="00984DC9" w:rsidRDefault="00984DC9" w:rsidP="00984D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lekarskiej, wyd. Wyd. </w:t>
      </w:r>
      <w:proofErr w:type="spellStart"/>
      <w:r>
        <w:rPr>
          <w:rFonts w:ascii="ArialMT" w:hAnsi="ArialMT" w:cs="ArialMT"/>
          <w:sz w:val="16"/>
          <w:szCs w:val="16"/>
        </w:rPr>
        <w:t>Pom.Uniw</w:t>
      </w:r>
      <w:proofErr w:type="spellEnd"/>
      <w:r>
        <w:rPr>
          <w:rFonts w:ascii="ArialMT" w:hAnsi="ArialMT" w:cs="ArialMT"/>
          <w:sz w:val="16"/>
          <w:szCs w:val="16"/>
        </w:rPr>
        <w:t>. Med. w Szczecinie; , 2009</w:t>
      </w:r>
    </w:p>
    <w:p w:rsidR="00A94290" w:rsidRPr="00984DC9" w:rsidRDefault="00A94290" w:rsidP="00984D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4"/>
          <w:szCs w:val="14"/>
        </w:rPr>
      </w:pPr>
    </w:p>
    <w:sectPr w:rsidR="00A94290" w:rsidRPr="00984DC9" w:rsidSect="00A9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oNotDisplayPageBoundaries/>
  <w:proofState w:spelling="clean"/>
  <w:defaultTabStop w:val="708"/>
  <w:hyphenationZone w:val="425"/>
  <w:characterSpacingControl w:val="doNotCompress"/>
  <w:compat/>
  <w:rsids>
    <w:rsidRoot w:val="00984DC9"/>
    <w:rsid w:val="00336969"/>
    <w:rsid w:val="00984DC9"/>
    <w:rsid w:val="00A9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2020-02-20T13:52:00Z</dcterms:created>
  <dcterms:modified xsi:type="dcterms:W3CDTF">2020-02-20T13:53:00Z</dcterms:modified>
</cp:coreProperties>
</file>